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0F0F0"/>
  <w:body>
    <w:p w:rsidR="00467684" w:rsidRPr="007B2596" w:rsidRDefault="00467684" w:rsidP="007B2596">
      <w:pPr>
        <w:pStyle w:val="Title"/>
      </w:pPr>
      <w:bookmarkStart w:id="0" w:name="_Toc386375334"/>
      <w:bookmarkStart w:id="1" w:name="_GoBack"/>
      <w:bookmarkEnd w:id="1"/>
      <w:r>
        <w:t>MPI-Research: BUAV-SOKO Claims &amp; Reality</w:t>
      </w:r>
    </w:p>
    <w:p w:rsidR="00467684" w:rsidRDefault="00467684" w:rsidP="00C12112">
      <w:pPr>
        <w:pStyle w:val="Subtitle"/>
      </w:pPr>
      <w:r>
        <w:t xml:space="preserve">Commentary, by </w:t>
      </w:r>
      <w:r w:rsidRPr="007B2596">
        <w:t xml:space="preserve">Nikos K. Logothetis, </w:t>
      </w:r>
      <w:r w:rsidR="00D761FF">
        <w:fldChar w:fldCharType="begin"/>
      </w:r>
      <w:r w:rsidR="00D761FF">
        <w:instrText xml:space="preserve"> DATE \@ "dddd, MMMM dd, yyyy" </w:instrText>
      </w:r>
      <w:r w:rsidR="00D761FF">
        <w:fldChar w:fldCharType="separate"/>
      </w:r>
      <w:r w:rsidR="00D761FF">
        <w:rPr>
          <w:noProof/>
        </w:rPr>
        <w:t>Tuesday, May 05, 2015</w:t>
      </w:r>
      <w:r w:rsidR="00D761FF">
        <w:rPr>
          <w:noProof/>
        </w:rPr>
        <w:fldChar w:fldCharType="end"/>
      </w:r>
    </w:p>
    <w:bookmarkEnd w:id="0"/>
    <w:p w:rsidR="00467684" w:rsidRDefault="00467684" w:rsidP="00786558">
      <w:r>
        <w:t xml:space="preserve">The research </w:t>
      </w:r>
      <w:r w:rsidRPr="00D011FF">
        <w:t xml:space="preserve">aim </w:t>
      </w:r>
      <w:r>
        <w:t xml:space="preserve">of the physiology department at the Max Planck Institute for </w:t>
      </w:r>
      <w:smartTag w:uri="urn:schemas-microsoft-com:office:smarttags" w:element="PersonName">
        <w:r>
          <w:t>Biological Cybernetics</w:t>
        </w:r>
      </w:smartTag>
      <w:r>
        <w:t xml:space="preserve"> (MPIBC) </w:t>
      </w:r>
      <w:r w:rsidRPr="00D011FF">
        <w:t xml:space="preserve">is </w:t>
      </w:r>
      <w:r>
        <w:t xml:space="preserve">to understand the connectivity and operational principles </w:t>
      </w:r>
      <w:r w:rsidRPr="00D011FF">
        <w:t>of the neural networks underlying our cognitive capaciti</w:t>
      </w:r>
      <w:r>
        <w:t xml:space="preserve">es. We see the brain as an exquisite example of a so-called dynamic “complex system”, in which </w:t>
      </w:r>
      <w:r w:rsidRPr="007B2596">
        <w:t xml:space="preserve">the behavior of the whole cannot be </w:t>
      </w:r>
      <w:r>
        <w:t>predicted from</w:t>
      </w:r>
      <w:r w:rsidRPr="007B2596">
        <w:t xml:space="preserve"> </w:t>
      </w:r>
      <w:r>
        <w:t xml:space="preserve">its </w:t>
      </w:r>
      <w:r w:rsidRPr="007B2596">
        <w:t xml:space="preserve">components. </w:t>
      </w:r>
      <w:r>
        <w:t xml:space="preserve"> Complex systems – typically characterized by decentralized control and self-organization – </w:t>
      </w:r>
      <w:r w:rsidRPr="007B2596">
        <w:t xml:space="preserve">are ubiquitous in nature, ranging from non-adaptive weather and climate patterns to </w:t>
      </w:r>
      <w:r>
        <w:t xml:space="preserve">highly </w:t>
      </w:r>
      <w:r w:rsidRPr="007B2596">
        <w:t>adaptive ones such as</w:t>
      </w:r>
      <w:r>
        <w:t xml:space="preserve"> </w:t>
      </w:r>
      <w:r w:rsidRPr="007B2596">
        <w:t>economies, genome</w:t>
      </w:r>
      <w:r>
        <w:t>s</w:t>
      </w:r>
      <w:r w:rsidRPr="007B2596">
        <w:t>, and nervous system</w:t>
      </w:r>
      <w:r>
        <w:t>s</w:t>
      </w:r>
      <w:r w:rsidRPr="007B2596">
        <w:t>.</w:t>
      </w:r>
      <w:r>
        <w:t xml:space="preserve"> Simultaneous measurement of activity on different spatio-temporal scales is highly useful if we wish to understand the behavior of such systems. O</w:t>
      </w:r>
      <w:r w:rsidRPr="00D011FF">
        <w:t xml:space="preserve">ver the last </w:t>
      </w:r>
      <w:r>
        <w:t xml:space="preserve">two </w:t>
      </w:r>
      <w:r w:rsidRPr="00D011FF">
        <w:t>decade</w:t>
      </w:r>
      <w:r>
        <w:t xml:space="preserve">s our </w:t>
      </w:r>
      <w:r w:rsidRPr="00D011FF">
        <w:t xml:space="preserve">institute </w:t>
      </w:r>
      <w:r>
        <w:t>has worked to develop and refine</w:t>
      </w:r>
      <w:r w:rsidRPr="00D011FF">
        <w:t xml:space="preserve"> an internationally highly acclaimed methodology that permits </w:t>
      </w:r>
      <w:r>
        <w:t xml:space="preserve">just that: </w:t>
      </w:r>
      <w:r w:rsidRPr="00D011FF">
        <w:t xml:space="preserve">concurrent intracranial recording of </w:t>
      </w:r>
      <w:r>
        <w:t xml:space="preserve">local </w:t>
      </w:r>
      <w:r w:rsidRPr="00D011FF">
        <w:t>neural activity and functional Magn</w:t>
      </w:r>
      <w:r>
        <w:t xml:space="preserve">etic Resonance Imaging (fMRI) of the entire brain of animals. </w:t>
      </w:r>
    </w:p>
    <w:p w:rsidR="00467684" w:rsidRDefault="00467684" w:rsidP="007D5CD9">
      <w:r>
        <w:t xml:space="preserve">The application of this method has </w:t>
      </w:r>
      <w:r w:rsidRPr="00D011FF">
        <w:t>made significant contributions, amongst other things, to a better understanding of functional magnetic resonance imaging (MRI) itself</w:t>
      </w:r>
      <w:r>
        <w:fldChar w:fldCharType="begin">
          <w:fldData xml:space="preserve">PEVuZE5vdGU+PENpdGU+PEF1dGhvcj5Mb2dvdGhldGlzPC9BdXRob3I+PFllYXI+MjAwODwvWWVh
cj48UmVjTnVtPjQ5NjAxPC9SZWNOdW0+PERpc3BsYXlUZXh0PjxzdHlsZSBmYWNlPSJzdXBlcnNj
cmlwdCI+MSwyPC9zdHlsZT48L0Rpc3BsYXlUZXh0PjxyZWNvcmQ+PHJlYy1udW1iZXI+NDk2MDE8
L3JlYy1udW1iZXI+PGZvcmVpZ24ta2V5cz48a2V5IGFwcD0iRU4iIGRiLWlkPSJ6c3NydDA1ZWE1
YTl2dmV3MHpxcHhzc2Nkc3AyeDU1eHd0OTkiPjQ5NjAxPC9rZXk+PC9mb3JlaWduLWtleXM+PHJl
Zi10eXBlIG5hbWU9IkpvdXJuYWwgQXJ0aWNsZSI+MTc8L3JlZi10eXBlPjxjb250cmlidXRvcnM+
PGF1dGhvcnM+PGF1dGhvcj5Mb2dvdGhldGlzLCBOLiBLLjwvYXV0aG9yPjwvYXV0aG9ycz48L2Nv
bnRyaWJ1dG9ycz48dGl0bGVzPjx0aXRsZT5XaGF0IHdlIGNhbiBkbyBhbmQgd2hhdCB3ZSBjYW5u
b3QgZG8gd2l0aCBmTVJJPC90aXRsZT48c2Vjb25kYXJ5LXRpdGxlPk5hdHVyZTwvc2Vjb25kYXJ5
LXRpdGxlPjxhbHQtdGl0bGU+TmF0dXJlPC9hbHQtdGl0bGU+PC90aXRsZXM+PHBlcmlvZGljYWw+
PGZ1bGwtdGl0bGU+TmF0dXJlPC9mdWxsLXRpdGxlPjwvcGVyaW9kaWNhbD48YWx0LXBlcmlvZGlj
YWw+PGZ1bGwtdGl0bGU+TmF0dXJlPC9mdWxsLXRpdGxlPjwvYWx0LXBlcmlvZGljYWw+PHBhZ2Vz
Pjg2OS04Nzg8L3BhZ2VzPjx2b2x1bWU+NDUzPC92b2x1bWU+PG51bWJlcj43MTk3PC9udW1iZXI+
PHNlY3Rpb24+ODY5PC9zZWN0aW9uPjxkYXRlcz48eWVhcj4yMDA4PC95ZWFyPjxwdWItZGF0ZXM+
PGRhdGU+SnVuIDEyLCAyMDA4PC9kYXRlPjwvcHViLWRhdGVzPjwvZGF0ZXM+PGlzYm4+MDAyOC0w
ODM2PC9pc2JuPjx3b3JrLXR5cGU+UmV2aWV3PC93b3JrLXR5cGU+PHVybHM+PHJlbGF0ZWQtdXJs
cz48dXJsPiZsdDtHbyB0byBJU0kmZ3Q7Oi8vMDAwMjU2NjMyMDAwMDMzPC91cmw+PC9yZWxhdGVk
LXVybHM+PHBkZi11cmxzPjx1cmw+ZmlsZTovL0Y6XFNoYXJlZFxOS0xcUHVibGljYXRpb25zXExv
Z290aGV0aXNfTmF0dXJlXzIwMDgucGRmPC91cmw+PC9wZGYtdXJscz48L3VybHM+PGVsZWN0cm9u
aWMtcmVzb3VyY2UtbnVtPjEwLjEwMzgvbmF0dXJlMDY5NzY8L2VsZWN0cm9uaWMtcmVzb3VyY2Ut
bnVtPjwvcmVjb3JkPjwvQ2l0ZT48Q2l0ZT48QXV0aG9yPkxvZ290aGV0aXM8L0F1dGhvcj48WWVh
cj4yMDAxPC9ZZWFyPjxSZWNOdW0+NDkyMjY8L1JlY051bT48cmVjb3JkPjxyZWMtbnVtYmVyPjQ5
MjI2PC9yZWMtbnVtYmVyPjxmb3JlaWduLWtleXM+PGtleSBhcHA9IkVOIiBkYi1pZD0ienNzcnQw
NWVhNWE5dnZldzB6cXB4c3NjZHNwMng1NXh3dDk5Ij40OTIyNjwva2V5PjwvZm9yZWlnbi1rZXlz
PjxyZWYtdHlwZSBuYW1lPSJKb3VybmFsIEFydGljbGUiPjE3PC9yZWYtdHlwZT48Y29udHJpYnV0
b3JzPjxhdXRob3JzPjxhdXRob3I+TG9nb3RoZXRpcywgTi4gSy48L2F1dGhvcj48YXV0aG9yPlBh
dWxzLCBKLiBNLjwvYXV0aG9yPjxhdXRob3I+QXVnYXRoLCBNLiBBLjwvYXV0aG9yPjxhdXRob3I+
VHJpbmF0aCwgVC48L2F1dGhvcj48YXV0aG9yPk9lbHRlcm1hbm4sIEEuPC9hdXRob3I+PC9hdXRo
b3JzPjwvY29udHJpYnV0b3JzPjx0aXRsZXM+PHRpdGxlPk5ldXJvcGh5c2lvbG9naWNhbCBpbnZl
c3RpZ2F0aW9uIG9mIHRoZSBiYXNpcyBvZiB0aGUgZk1SSSBzaWduYWw8L3RpdGxlPjxzZWNvbmRh
cnktdGl0bGU+TmF0dXJlPC9zZWNvbmRhcnktdGl0bGU+PGFsdC10aXRsZT5OYXR1cmU8L2FsdC10
aXRsZT48L3RpdGxlcz48cGVyaW9kaWNhbD48ZnVsbC10aXRsZT5OYXR1cmU8L2Z1bGwtdGl0bGU+
PC9wZXJpb2RpY2FsPjxhbHQtcGVyaW9kaWNhbD48ZnVsbC10aXRsZT5OYXR1cmU8L2Z1bGwtdGl0
bGU+PC9hbHQtcGVyaW9kaWNhbD48cGFnZXM+MTUwLTE1NzwvcGFnZXM+PHZvbHVtZT40MTI8L3Zv
bHVtZT48bnVtYmVyPjY4NDM8L251bWJlcj48c2VjdGlvbj4xNTA8L3NlY3Rpb24+PGRhdGVzPjx5
ZWFyPjIwMDE8L3llYXI+PHB1Yi1kYXRlcz48ZGF0ZT5KdWwgMTIsIDIwMDE8L2RhdGU+PC9wdWIt
ZGF0ZXM+PC9kYXRlcz48aXNibj4wMDI4LTA4MzY8L2lzYm4+PHdvcmstdHlwZT5BcnRpY2xlPC93
b3JrLXR5cGU+PHVybHM+PHJlbGF0ZWQtdXJscz48dXJsPiZsdDtHbyB0byBJU0kmZ3Q7Oi8vMDAw
MTY5Nzc4NzAwMDQyPC91cmw+PC9yZWxhdGVkLXVybHM+PHBkZi11cmxzPjx1cmw+ZmlsZTovL0Y6
XFNoYXJlZFxOS0xcUHVibGljYXRpb25zXExvZ290aGV0aXMgUGF1bHMgQXVnYXRoIGV0IGFsX05h
dHVyZV8yMDAxLnBkZjwvdXJsPjwvcGRmLXVybHM+PC91cmxzPjxlbGVjdHJvbmljLXJlc291cmNl
LW51bT4xMC4xMDM4LzM1MDg0MDA1PC9lbGVjdHJvbmljLXJlc291cmNlLW51bT48L3JlY29yZD48
L0NpdGU+PC9FbmROb3RlPgBuAFwAXAAA
</w:fldData>
        </w:fldChar>
      </w:r>
      <w:r>
        <w:instrText xml:space="preserve"> ADDIN EN.CITE </w:instrText>
      </w:r>
      <w:r>
        <w:fldChar w:fldCharType="begin">
          <w:fldData xml:space="preserve">PEVuZE5vdGU+PENpdGU+PEF1dGhvcj5Mb2dvdGhldGlzPC9BdXRob3I+PFllYXI+MjAwODwvWWVh
cj48UmVjTnVtPjQ5NjAxPC9SZWNOdW0+PERpc3BsYXlUZXh0PjxzdHlsZSBmYWNlPSJzdXBlcnNj
cmlwdCI+MSwyPC9zdHlsZT48L0Rpc3BsYXlUZXh0PjxyZWNvcmQ+PHJlYy1udW1iZXI+NDk2MDE8
L3JlYy1udW1iZXI+PGZvcmVpZ24ta2V5cz48a2V5IGFwcD0iRU4iIGRiLWlkPSJ6c3NydDA1ZWE1
YTl2dmV3MHpxcHhzc2Nkc3AyeDU1eHd0OTkiPjQ5NjAxPC9rZXk+PC9mb3JlaWduLWtleXM+PHJl
Zi10eXBlIG5hbWU9IkpvdXJuYWwgQXJ0aWNsZSI+MTc8L3JlZi10eXBlPjxjb250cmlidXRvcnM+
PGF1dGhvcnM+PGF1dGhvcj5Mb2dvdGhldGlzLCBOLiBLLjwvYXV0aG9yPjwvYXV0aG9ycz48L2Nv
bnRyaWJ1dG9ycz48dGl0bGVzPjx0aXRsZT5XaGF0IHdlIGNhbiBkbyBhbmQgd2hhdCB3ZSBjYW5u
b3QgZG8gd2l0aCBmTVJJPC90aXRsZT48c2Vjb25kYXJ5LXRpdGxlPk5hdHVyZTwvc2Vjb25kYXJ5
LXRpdGxlPjxhbHQtdGl0bGU+TmF0dXJlPC9hbHQtdGl0bGU+PC90aXRsZXM+PHBlcmlvZGljYWw+
PGZ1bGwtdGl0bGU+TmF0dXJlPC9mdWxsLXRpdGxlPjwvcGVyaW9kaWNhbD48YWx0LXBlcmlvZGlj
YWw+PGZ1bGwtdGl0bGU+TmF0dXJlPC9mdWxsLXRpdGxlPjwvYWx0LXBlcmlvZGljYWw+PHBhZ2Vz
Pjg2OS04Nzg8L3BhZ2VzPjx2b2x1bWU+NDUzPC92b2x1bWU+PG51bWJlcj43MTk3PC9udW1iZXI+
PHNlY3Rpb24+ODY5PC9zZWN0aW9uPjxkYXRlcz48eWVhcj4yMDA4PC95ZWFyPjxwdWItZGF0ZXM+
PGRhdGU+SnVuIDEyLCAyMDA4PC9kYXRlPjwvcHViLWRhdGVzPjwvZGF0ZXM+PGlzYm4+MDAyOC0w
ODM2PC9pc2JuPjx3b3JrLXR5cGU+UmV2aWV3PC93b3JrLXR5cGU+PHVybHM+PHJlbGF0ZWQtdXJs
cz48dXJsPiZsdDtHbyB0byBJU0kmZ3Q7Oi8vMDAwMjU2NjMyMDAwMDMzPC91cmw+PC9yZWxhdGVk
LXVybHM+PHBkZi11cmxzPjx1cmw+ZmlsZTovL0Y6XFNoYXJlZFxOS0xcUHVibGljYXRpb25zXExv
Z290aGV0aXNfTmF0dXJlXzIwMDgucGRmPC91cmw+PC9wZGYtdXJscz48L3VybHM+PGVsZWN0cm9u
aWMtcmVzb3VyY2UtbnVtPjEwLjEwMzgvbmF0dXJlMDY5NzY8L2VsZWN0cm9uaWMtcmVzb3VyY2Ut
bnVtPjwvcmVjb3JkPjwvQ2l0ZT48Q2l0ZT48QXV0aG9yPkxvZ290aGV0aXM8L0F1dGhvcj48WWVh
cj4yMDAxPC9ZZWFyPjxSZWNOdW0+NDkyMjY8L1JlY051bT48cmVjb3JkPjxyZWMtbnVtYmVyPjQ5
MjI2PC9yZWMtbnVtYmVyPjxmb3JlaWduLWtleXM+PGtleSBhcHA9IkVOIiBkYi1pZD0ienNzcnQw
NWVhNWE5dnZldzB6cXB4c3NjZHNwMng1NXh3dDk5Ij40OTIyNjwva2V5PjwvZm9yZWlnbi1rZXlz
PjxyZWYtdHlwZSBuYW1lPSJKb3VybmFsIEFydGljbGUiPjE3PC9yZWYtdHlwZT48Y29udHJpYnV0
b3JzPjxhdXRob3JzPjxhdXRob3I+TG9nb3RoZXRpcywgTi4gSy48L2F1dGhvcj48YXV0aG9yPlBh
dWxzLCBKLiBNLjwvYXV0aG9yPjxhdXRob3I+QXVnYXRoLCBNLiBBLjwvYXV0aG9yPjxhdXRob3I+
VHJpbmF0aCwgVC48L2F1dGhvcj48YXV0aG9yPk9lbHRlcm1hbm4sIEEuPC9hdXRob3I+PC9hdXRo
b3JzPjwvY29udHJpYnV0b3JzPjx0aXRsZXM+PHRpdGxlPk5ldXJvcGh5c2lvbG9naWNhbCBpbnZl
c3RpZ2F0aW9uIG9mIHRoZSBiYXNpcyBvZiB0aGUgZk1SSSBzaWduYWw8L3RpdGxlPjxzZWNvbmRh
cnktdGl0bGU+TmF0dXJlPC9zZWNvbmRhcnktdGl0bGU+PGFsdC10aXRsZT5OYXR1cmU8L2FsdC10
aXRsZT48L3RpdGxlcz48cGVyaW9kaWNhbD48ZnVsbC10aXRsZT5OYXR1cmU8L2Z1bGwtdGl0bGU+
PC9wZXJpb2RpY2FsPjxhbHQtcGVyaW9kaWNhbD48ZnVsbC10aXRsZT5OYXR1cmU8L2Z1bGwtdGl0
bGU+PC9hbHQtcGVyaW9kaWNhbD48cGFnZXM+MTUwLTE1NzwvcGFnZXM+PHZvbHVtZT40MTI8L3Zv
bHVtZT48bnVtYmVyPjY4NDM8L251bWJlcj48c2VjdGlvbj4xNTA8L3NlY3Rpb24+PGRhdGVzPjx5
ZWFyPjIwMDE8L3llYXI+PHB1Yi1kYXRlcz48ZGF0ZT5KdWwgMTIsIDIwMDE8L2RhdGU+PC9wdWIt
ZGF0ZXM+PC9kYXRlcz48aXNibj4wMDI4LTA4MzY8L2lzYm4+PHdvcmstdHlwZT5BcnRpY2xlPC93
b3JrLXR5cGU+PHVybHM+PHJlbGF0ZWQtdXJscz48dXJsPiZsdDtHbyB0byBJU0kmZ3Q7Oi8vMDAw
MTY5Nzc4NzAwMDQyPC91cmw+PC9yZWxhdGVkLXVybHM+PHBkZi11cmxzPjx1cmw+ZmlsZTovL0Y6
XFNoYXJlZFxOS0xcUHVibGljYXRpb25zXExvZ290aGV0aXMgUGF1bHMgQXVnYXRoIGV0IGFsX05h
dHVyZV8yMDAxLnBkZjwvdXJsPjwvcGRmLXVybHM+PC91cmxzPjxlbGVjdHJvbmljLXJlc291cmNl
LW51bT4xMC4xMDM4LzM1MDg0MDA1PC9lbGVjdHJvbmljLXJlc291cmNlLW51bT48L3JlY29yZD48
L0NpdGU+PC9FbmROb3RlPgBsAGUKcAAA
</w:fldData>
        </w:fldChar>
      </w:r>
      <w:r>
        <w:instrText xml:space="preserve"> ADDIN EN.CITE.DATA </w:instrText>
      </w:r>
      <w:r>
        <w:fldChar w:fldCharType="end"/>
      </w:r>
      <w:r>
        <w:fldChar w:fldCharType="separate"/>
      </w:r>
      <w:hyperlink w:anchor="_ENREF_1" w:tooltip="Logothetis, 2008 #49601" w:history="1">
        <w:r w:rsidRPr="00786558">
          <w:rPr>
            <w:noProof/>
            <w:vertAlign w:val="superscript"/>
          </w:rPr>
          <w:t>1</w:t>
        </w:r>
      </w:hyperlink>
      <w:r w:rsidRPr="00786558">
        <w:rPr>
          <w:noProof/>
          <w:vertAlign w:val="superscript"/>
        </w:rPr>
        <w:t>,</w:t>
      </w:r>
      <w:hyperlink w:anchor="_ENREF_2" w:tooltip="Logothetis, 2001 #49226" w:history="1">
        <w:r w:rsidRPr="00786558">
          <w:rPr>
            <w:noProof/>
            <w:vertAlign w:val="superscript"/>
          </w:rPr>
          <w:t>2</w:t>
        </w:r>
      </w:hyperlink>
      <w:r>
        <w:fldChar w:fldCharType="end"/>
      </w:r>
      <w:r w:rsidRPr="00D011FF">
        <w:t>.</w:t>
      </w:r>
      <w:r>
        <w:t xml:space="preserve"> Non-invasive imaging methods such as fMRI or p</w:t>
      </w:r>
      <w:r w:rsidRPr="006C2F22">
        <w:t>ositron emission tomography (PET)</w:t>
      </w:r>
      <w:r>
        <w:t xml:space="preserve"> can only measure surrogates of neural function, e.g. local metabolic changes in tissues. For this reason it is vital that we comprehend the neural processes underlying such metabolic changes in order to be able to correctly interpret the functional scans used to assess the condition of patients with various neurological or psychiatric diseases.</w:t>
      </w:r>
    </w:p>
    <w:p w:rsidR="00467684" w:rsidRDefault="00467684" w:rsidP="00786558">
      <w:r>
        <w:t xml:space="preserve">Our laboratory is primarily interested in </w:t>
      </w:r>
      <w:r w:rsidRPr="00375729">
        <w:rPr>
          <w:b/>
          <w:i/>
        </w:rPr>
        <w:t>basic neuroscientific research</w:t>
      </w:r>
      <w:r>
        <w:t xml:space="preserve">, </w:t>
      </w:r>
      <w:r w:rsidRPr="00F76BA9">
        <w:t xml:space="preserve">performed without </w:t>
      </w:r>
      <w:r>
        <w:t xml:space="preserve">any a priori </w:t>
      </w:r>
      <w:r w:rsidRPr="00F76BA9">
        <w:t>thought</w:t>
      </w:r>
      <w:r>
        <w:t>s</w:t>
      </w:r>
      <w:r w:rsidRPr="00F76BA9">
        <w:t xml:space="preserve"> of </w:t>
      </w:r>
      <w:r>
        <w:t xml:space="preserve">immediate practical ends. We hope to discover the very </w:t>
      </w:r>
      <w:r w:rsidRPr="005E16D0">
        <w:rPr>
          <w:b/>
          <w:i/>
        </w:rPr>
        <w:t>basic</w:t>
      </w:r>
      <w:r>
        <w:t xml:space="preserve"> </w:t>
      </w:r>
      <w:r w:rsidRPr="009D33E1">
        <w:rPr>
          <w:b/>
          <w:i/>
        </w:rPr>
        <w:t>neural principles</w:t>
      </w:r>
      <w:r>
        <w:t xml:space="preserve"> underlying capacities such as perception, recognition, learning and memory. Understanding such principles is the only way to successfully cope with devastating disorders and reduce the invasive character of many clinical procedures applied for their diagnosis and treatment. Specifically, multimodal measurements permit the mapping of cooperative activity patterns of a large number of brain regions that may be correlated with local physiological events in different brain regions. For instance, recently we published the first description of multiple-structure activity (MSA) related to certain hippocampal events which are thought to underlie the process of memory consolidation in humans and animals</w:t>
      </w:r>
      <w:hyperlink w:anchor="_ENREF_3" w:tooltip="Logothetis, 2012 #50587" w:history="1">
        <w:r>
          <w:fldChar w:fldCharType="begin">
            <w:fldData xml:space="preserve">PEVuZE5vdGU+PENpdGU+PEF1dGhvcj5Mb2dvdGhldGlzPC9BdXRob3I+PFllYXI+MjAxMjwvWWVh
cj48UmVjTnVtPjUwNTg3PC9SZWNOdW0+PERpc3BsYXlUZXh0PjxzdHlsZSBmYWNlPSJzdXBlcnNj
cmlwdCI+Mzwvc3R5bGU+PC9EaXNwbGF5VGV4dD48cmVjb3JkPjxyZWMtbnVtYmVyPjUwNTg3PC9y
ZWMtbnVtYmVyPjxmb3JlaWduLWtleXM+PGtleSBhcHA9IkVOIiBkYi1pZD0ienNzcnQwNWVhNWE5
dnZldzB6cXB4c3NjZHNwMng1NXh3dDk5Ij41MDU4Nzwva2V5PjwvZm9yZWlnbi1rZXlzPjxyZWYt
dHlwZSBuYW1lPSJKb3VybmFsIEFydGljbGUiPjE3PC9yZWYtdHlwZT48Y29udHJpYnV0b3JzPjxh
dXRob3JzPjxhdXRob3I+TG9nb3RoZXRpcywgTi4gSy48L2F1dGhvcj48YXV0aG9yPkVzY2hlbmtv
LCBPLjwvYXV0aG9yPjxhdXRob3I+TXVyYXlhbWEsIFkuPC9hdXRob3I+PGF1dGhvcj5BdWdhdGgs
IE0uPC9hdXRob3I+PGF1dGhvcj5TdGV1ZGVsLCBULjwvYXV0aG9yPjxhdXRob3I+RXZyYXJkLCBI
LiBDLjwvYXV0aG9yPjxhdXRob3I+QmVzc2VydmUsIE0uPC9hdXRob3I+PGF1dGhvcj5PZWx0ZXJt
YW5uLCBBLjwvYXV0aG9yPjwvYXV0aG9ycz48L2NvbnRyaWJ1dG9ycz48YXV0aC1hZGRyZXNzPkxv
Z290aGV0aXMsIE5LJiN4RDtNYXggUGxhbmNrIEluc3QgQmlvbCBDeWJlcm5ldCwgU3BlbWFubnN0
ciAzOCwgRC03MjA3NiBUdWJpbmdlbiwgR2VybWFueSYjeEQ7TWF4IFBsYW5jayBJbnN0IEJpb2wg
Q3liZXJuZXQsIFNwZW1hbm5zdHIgMzgsIEQtNzIwNzYgVHViaW5nZW4sIEdlcm1hbnkmI3hEO01h
eCBQbGFuY2sgSW5zdCBCaW9sIEN5YmVybmV0LCBELTcyMDc2IFR1YmluZ2VuLCBHZXJtYW55JiN4
RDtVbml2IE1hbmNoZXN0ZXIsIEJpb21lZCBJbWFnaW5nIEluc3QsIEN0ciBJbWFnaW5nIFNjaSwg
TWFuY2hlc3RlciBNMTMgOVBULCBMYW5jcywgRW5nbGFuZCYjeEQ7TWF4IFBsYW5jayBJbnN0IElu
dGVsbGlnZW50IFN5c3QsIEQtNzIwNzYgVHViaW5nZW4sIEdlcm1hbnk8L2F1dGgtYWRkcmVzcz48
dGl0bGVzPjx0aXRsZT5IaXBwb2NhbXBhbC1jb3J0aWNhbCBpbnRlcmFjdGlvbiBkdXJpbmcgcGVy
aW9kcyBvZiBzdWJjb3J0aWNhbCBzaWxlbmNlPC90aXRsZT48c2Vjb25kYXJ5LXRpdGxlPk5hdHVy
ZTwvc2Vjb25kYXJ5LXRpdGxlPjxhbHQtdGl0bGU+TmF0dXJlPC9hbHQtdGl0bGU+PC90aXRsZXM+
PHBlcmlvZGljYWw+PGZ1bGwtdGl0bGU+TmF0dXJlPC9mdWxsLXRpdGxlPjwvcGVyaW9kaWNhbD48
YWx0LXBlcmlvZGljYWw+PGZ1bGwtdGl0bGU+TmF0dXJlPC9mdWxsLXRpdGxlPjwvYWx0LXBlcmlv
ZGljYWw+PHBhZ2VzPjU0Ny01NTM8L3BhZ2VzPjx2b2x1bWU+NDkxPC92b2x1bWU+PG51bWJlcj43
NDI1PC9udW1iZXI+PGtleXdvcmRzPjxrZXl3b3JkPnNsb3ctd2F2ZSBzbGVlcDwva2V5d29yZD48
a2V5d29yZD50cmFpbmluZyByZXZlcnNpYmxlIGluYWN0aXZhdGlvbjwva2V5d29yZD48a2V5d29y
ZD5tZW1vcnktc3lzdGVtczwva2V5d29yZD48a2V5d29yZD5kZWNsYXJhdGl2ZSBtZW1vcnk8L2tl
eXdvcmQ+PGtleXdvcmQ+c2hhcnAgd2F2ZXM8L2tleXdvcmQ+PGtleXdvcmQ+cmlwcGxlczwva2V5
d29yZD48a2V5d29yZD5vc2NpbGxhdGlvbjwva2V5d29yZD48a2V5d29yZD5jb25zb2xpZGF0aW9u
PC9rZXl3b3JkPjxrZXl3b3JkPnJlYWN0aXZhdGlvbjwva2V5d29yZD48a2V5d29yZD5zdGF0ZTwv
a2V5d29yZD48L2tleXdvcmRzPjxkYXRlcz48eWVhcj4yMDEyPC95ZWFyPjxwdWItZGF0ZXM+PGRh
dGU+Tm92IDIyPC9kYXRlPjwvcHViLWRhdGVzPjwvZGF0ZXM+PGlzYm4+MDAyOC0wODM2PC9pc2Ju
PjxhY2Nlc3Npb24tbnVtPklTSTowMDAzMTEzMzk4MDAwNDI8L2FjY2Vzc2lvbi1udW0+PHVybHM+
PHJlbGF0ZWQtdXJscz48dXJsPiZsdDtHbyB0byBJU0kmZ3Q7Oi8vMDAwMzExMzM5ODAwMDQyPC91
cmw+PC9yZWxhdGVkLXVybHM+PC91cmxzPjxlbGVjdHJvbmljLXJlc291cmNlLW51bT5Eb2kgMTAu
MTAzOC9OYXR1cmUxMTYxODwvZWxlY3Ryb25pYy1yZXNvdXJjZS1udW0+PGxhbmd1YWdlPkVuZ2xp
c2g8L2xhbmd1YWdlPjwvcmVjb3JkPjwvQ2l0ZT48L0VuZE5vdGU+AAAAAAAAAAAA
</w:fldData>
          </w:fldChar>
        </w:r>
        <w:r>
          <w:instrText xml:space="preserve"> ADDIN EN.CITE </w:instrText>
        </w:r>
        <w:r>
          <w:fldChar w:fldCharType="begin">
            <w:fldData xml:space="preserve">PEVuZE5vdGU+PENpdGU+PEF1dGhvcj5Mb2dvdGhldGlzPC9BdXRob3I+PFllYXI+MjAxMjwvWWVh
cj48UmVjTnVtPjUwNTg3PC9SZWNOdW0+PERpc3BsYXlUZXh0PjxzdHlsZSBmYWNlPSJzdXBlcnNj
cmlwdCI+Mzwvc3R5bGU+PC9EaXNwbGF5VGV4dD48cmVjb3JkPjxyZWMtbnVtYmVyPjUwNTg3PC9y
ZWMtbnVtYmVyPjxmb3JlaWduLWtleXM+PGtleSBhcHA9IkVOIiBkYi1pZD0ienNzcnQwNWVhNWE5
dnZldzB6cXB4c3NjZHNwMng1NXh3dDk5Ij41MDU4Nzwva2V5PjwvZm9yZWlnbi1rZXlzPjxyZWYt
dHlwZSBuYW1lPSJKb3VybmFsIEFydGljbGUiPjE3PC9yZWYtdHlwZT48Y29udHJpYnV0b3JzPjxh
dXRob3JzPjxhdXRob3I+TG9nb3RoZXRpcywgTi4gSy48L2F1dGhvcj48YXV0aG9yPkVzY2hlbmtv
LCBPLjwvYXV0aG9yPjxhdXRob3I+TXVyYXlhbWEsIFkuPC9hdXRob3I+PGF1dGhvcj5BdWdhdGgs
IE0uPC9hdXRob3I+PGF1dGhvcj5TdGV1ZGVsLCBULjwvYXV0aG9yPjxhdXRob3I+RXZyYXJkLCBI
LiBDLjwvYXV0aG9yPjxhdXRob3I+QmVzc2VydmUsIE0uPC9hdXRob3I+PGF1dGhvcj5PZWx0ZXJt
YW5uLCBBLjwvYXV0aG9yPjwvYXV0aG9ycz48L2NvbnRyaWJ1dG9ycz48YXV0aC1hZGRyZXNzPkxv
Z290aGV0aXMsIE5LJiN4RDtNYXggUGxhbmNrIEluc3QgQmlvbCBDeWJlcm5ldCwgU3BlbWFubnN0
ciAzOCwgRC03MjA3NiBUdWJpbmdlbiwgR2VybWFueSYjeEQ7TWF4IFBsYW5jayBJbnN0IEJpb2wg
Q3liZXJuZXQsIFNwZW1hbm5zdHIgMzgsIEQtNzIwNzYgVHViaW5nZW4sIEdlcm1hbnkmI3hEO01h
eCBQbGFuY2sgSW5zdCBCaW9sIEN5YmVybmV0LCBELTcyMDc2IFR1YmluZ2VuLCBHZXJtYW55JiN4
RDtVbml2IE1hbmNoZXN0ZXIsIEJpb21lZCBJbWFnaW5nIEluc3QsIEN0ciBJbWFnaW5nIFNjaSwg
TWFuY2hlc3RlciBNMTMgOVBULCBMYW5jcywgRW5nbGFuZCYjeEQ7TWF4IFBsYW5jayBJbnN0IElu
dGVsbGlnZW50IFN5c3QsIEQtNzIwNzYgVHViaW5nZW4sIEdlcm1hbnk8L2F1dGgtYWRkcmVzcz48
dGl0bGVzPjx0aXRsZT5IaXBwb2NhbXBhbC1jb3J0aWNhbCBpbnRlcmFjdGlvbiBkdXJpbmcgcGVy
aW9kcyBvZiBzdWJjb3J0aWNhbCBzaWxlbmNlPC90aXRsZT48c2Vjb25kYXJ5LXRpdGxlPk5hdHVy
ZTwvc2Vjb25kYXJ5LXRpdGxlPjxhbHQtdGl0bGU+TmF0dXJlPC9hbHQtdGl0bGU+PC90aXRsZXM+
PHBlcmlvZGljYWw+PGZ1bGwtdGl0bGU+TmF0dXJlPC9mdWxsLXRpdGxlPjwvcGVyaW9kaWNhbD48
YWx0LXBlcmlvZGljYWw+PGZ1bGwtdGl0bGU+TmF0dXJlPC9mdWxsLXRpdGxlPjwvYWx0LXBlcmlv
ZGljYWw+PHBhZ2VzPjU0Ny01NTM8L3BhZ2VzPjx2b2x1bWU+NDkxPC92b2x1bWU+PG51bWJlcj43
NDI1PC9udW1iZXI+PGtleXdvcmRzPjxrZXl3b3JkPnNsb3ctd2F2ZSBzbGVlcDwva2V5d29yZD48
a2V5d29yZD50cmFpbmluZyByZXZlcnNpYmxlIGluYWN0aXZhdGlvbjwva2V5d29yZD48a2V5d29y
ZD5tZW1vcnktc3lzdGVtczwva2V5d29yZD48a2V5d29yZD5kZWNsYXJhdGl2ZSBtZW1vcnk8L2tl
eXdvcmQ+PGtleXdvcmQ+c2hhcnAgd2F2ZXM8L2tleXdvcmQ+PGtleXdvcmQ+cmlwcGxlczwva2V5
d29yZD48a2V5d29yZD5vc2NpbGxhdGlvbjwva2V5d29yZD48a2V5d29yZD5jb25zb2xpZGF0aW9u
PC9rZXl3b3JkPjxrZXl3b3JkPnJlYWN0aXZhdGlvbjwva2V5d29yZD48a2V5d29yZD5zdGF0ZTwv
a2V5d29yZD48L2tleXdvcmRzPjxkYXRlcz48eWVhcj4yMDEyPC95ZWFyPjxwdWItZGF0ZXM+PGRh
dGU+Tm92IDIyPC9kYXRlPjwvcHViLWRhdGVzPjwvZGF0ZXM+PGlzYm4+MDAyOC0wODM2PC9pc2Ju
PjxhY2Nlc3Npb24tbnVtPklTSTowMDAzMTEzMzk4MDAwNDI8L2FjY2Vzc2lvbi1udW0+PHVybHM+
PHJlbGF0ZWQtdXJscz48dXJsPiZsdDtHbyB0byBJU0kmZ3Q7Oi8vMDAwMzExMzM5ODAwMDQyPC91
cmw+PC9yZWxhdGVkLXVybHM+PC91cmxzPjxlbGVjdHJvbmljLXJlc291cmNlLW51bT5Eb2kgMTAu
MTAzOC9OYXR1cmUxMTYxODwvZWxlY3Ryb25pYy1yZXNvdXJjZS1udW0+PGxhbmd1YWdlPkVuZ2xp
c2g8L2xhbmd1YWdlPjwvcmVjb3JkPjwvQ2l0ZT48L0VuZE5vdGU+AABQAHkAbgAA
</w:fldData>
          </w:fldChar>
        </w:r>
        <w:r>
          <w:instrText xml:space="preserve"> ADDIN EN.CITE.DATA </w:instrText>
        </w:r>
        <w:r>
          <w:fldChar w:fldCharType="end"/>
        </w:r>
        <w:r>
          <w:fldChar w:fldCharType="separate"/>
        </w:r>
        <w:r w:rsidRPr="00032E2B">
          <w:rPr>
            <w:noProof/>
            <w:vertAlign w:val="superscript"/>
          </w:rPr>
          <w:t>3</w:t>
        </w:r>
        <w:r>
          <w:fldChar w:fldCharType="end"/>
        </w:r>
      </w:hyperlink>
      <w:r>
        <w:t xml:space="preserve">. Yet, beyond the fundamental value of such system-state descriptions for the study of memory, fathoming the relationship of MSA </w:t>
      </w:r>
      <w:r w:rsidRPr="00D011FF">
        <w:t xml:space="preserve">to the activity of </w:t>
      </w:r>
      <w:r>
        <w:t xml:space="preserve">small local neural </w:t>
      </w:r>
      <w:r w:rsidRPr="00D011FF">
        <w:t>populations may</w:t>
      </w:r>
      <w:r>
        <w:t xml:space="preserve"> itself</w:t>
      </w:r>
      <w:r w:rsidRPr="00D011FF">
        <w:t xml:space="preserve"> </w:t>
      </w:r>
      <w:r>
        <w:t>allow</w:t>
      </w:r>
      <w:r w:rsidRPr="00D011FF">
        <w:t xml:space="preserve"> </w:t>
      </w:r>
      <w:r w:rsidRPr="005E16D0">
        <w:rPr>
          <w:b/>
          <w:i/>
        </w:rPr>
        <w:t>the non-invasive identification of clinically relevant neural episodes</w:t>
      </w:r>
      <w:r>
        <w:rPr>
          <w:b/>
          <w:i/>
        </w:rPr>
        <w:t>.</w:t>
      </w:r>
      <w:r>
        <w:t xml:space="preserve"> Currently, these can often only be circumstantially </w:t>
      </w:r>
      <w:r w:rsidRPr="00D011FF">
        <w:t xml:space="preserve">investigated in </w:t>
      </w:r>
      <w:r>
        <w:t xml:space="preserve">patients during the pre-operative </w:t>
      </w:r>
      <w:r w:rsidRPr="00D011FF">
        <w:t>intracranial recordings</w:t>
      </w:r>
      <w:r>
        <w:t xml:space="preserve"> serving to localize pathological activity, e.g. site of epileptic seizures.</w:t>
      </w:r>
    </w:p>
    <w:p w:rsidR="00467684" w:rsidRDefault="00467684" w:rsidP="00555C00">
      <w:r>
        <w:t xml:space="preserve">Our research is carried out in nonhuman primates (NHP) and rodents. The biophysical properties of single neurons and microcircuits of small neuronal populations can be studied in any animal, and such studies significantly </w:t>
      </w:r>
      <w:r w:rsidRPr="00FB6D76">
        <w:t>increase our knowledge of microprocesses.</w:t>
      </w:r>
      <w:r>
        <w:t xml:space="preserve"> But to understand our brain systems and eventually to gain insights into human behavior and its disorders there is no substitute for research in nonhuman primates with the same basic macro-connectivity patterns and cortical organization as humans. At the same time, it cannot be denied that that same structural and functional similarity of brains between humans and the</w:t>
      </w:r>
      <w:r w:rsidRPr="00B95866">
        <w:t xml:space="preserve"> NHPs poses some difficult ethical problems, because </w:t>
      </w:r>
      <w:r>
        <w:t>this very similarity increases the likelihood</w:t>
      </w:r>
      <w:r w:rsidRPr="00B95866">
        <w:t xml:space="preserve"> that primates experience pain and suffering in ways</w:t>
      </w:r>
      <w:r>
        <w:t xml:space="preserve"> that are similar to humans. The aims and methodologies of basic NHP-research are therefore strictly regulated in a manner ensuring minimal discomfort and innovative science at the same time. In fact, current regulations permit animal research</w:t>
      </w:r>
      <w:r w:rsidRPr="00ED1584">
        <w:t xml:space="preserve"> </w:t>
      </w:r>
      <w:r>
        <w:t xml:space="preserve">only </w:t>
      </w:r>
      <w:r w:rsidRPr="00ED1584">
        <w:t>when no alternative</w:t>
      </w:r>
      <w:r>
        <w:t>s</w:t>
      </w:r>
      <w:r w:rsidRPr="00ED1584">
        <w:t xml:space="preserve"> </w:t>
      </w:r>
      <w:r>
        <w:t>are</w:t>
      </w:r>
      <w:r w:rsidRPr="00ED1584">
        <w:t xml:space="preserve"> available</w:t>
      </w:r>
      <w:r>
        <w:t>.</w:t>
      </w:r>
    </w:p>
    <w:p w:rsidR="00467684" w:rsidRDefault="00467684" w:rsidP="00ED4D71">
      <w:r>
        <w:t xml:space="preserve">Nevertheless, even absolute compliance with the letter and the spirit of such regulations cannot possibly guarantee risk-free procedures, a fact that is explicitly discussed and acknowledged in any experimental protocol anywhere in the world, and certainly in those approved by the licensing authorities (i.e. Regierungspräsidium) in </w:t>
      </w:r>
      <w:smartTag w:uri="urn:schemas-microsoft-com:office:smarttags" w:element="country-region">
        <w:smartTag w:uri="urn:schemas-microsoft-com:office:smarttags" w:element="place">
          <w:r>
            <w:t>Germany</w:t>
          </w:r>
        </w:smartTag>
      </w:smartTag>
      <w:r>
        <w:t xml:space="preserve">. It is precisely these acknowledged risks that make it necessary that invasive experimentation be carried out in animals rather than in humans. </w:t>
      </w:r>
    </w:p>
    <w:p w:rsidR="00467684" w:rsidRDefault="00467684" w:rsidP="00D2646B">
      <w:r>
        <w:t xml:space="preserve">Obviously, invasive experiments involving penetration of the brain with stimulation or recording electrodes have the potential to cause brain damage and infection. For instance, numerous risk-benefit assessments have published on so-called Deep Brain Stimulation (DBS), an invasive method used to treat drug-resistant devastating diseases, such as </w:t>
      </w:r>
      <w:r w:rsidRPr="000E5972">
        <w:t>Parkinson's disease</w:t>
      </w:r>
      <w:r>
        <w:t xml:space="preserve"> (PD), obesity, </w:t>
      </w:r>
      <w:r w:rsidRPr="00580ACD">
        <w:t>obsessions</w:t>
      </w:r>
      <w:r>
        <w:t xml:space="preserve">, and various forms of depression. </w:t>
      </w:r>
      <w:r w:rsidRPr="000E5972">
        <w:t xml:space="preserve">About 1.5 million </w:t>
      </w:r>
      <w:r w:rsidRPr="000E5972">
        <w:lastRenderedPageBreak/>
        <w:t>Americans have Parkinson's disease</w:t>
      </w:r>
      <w:r>
        <w:t xml:space="preserve">, and Germany has the largest number of prevalent cases of PD of any country in Europe, with </w:t>
      </w:r>
      <w:r w:rsidRPr="003715CD">
        <w:t xml:space="preserve">150 cases per 100,000 inhabitants and 1,800 cases per 100,000 </w:t>
      </w:r>
      <w:r>
        <w:t>persons</w:t>
      </w:r>
      <w:r w:rsidRPr="003715CD">
        <w:t xml:space="preserve"> over </w:t>
      </w:r>
      <w:r>
        <w:t xml:space="preserve">the age of </w:t>
      </w:r>
      <w:r w:rsidRPr="003715CD">
        <w:t>65 years</w:t>
      </w:r>
      <w:hyperlink w:anchor="_ENREF_4" w:tooltip="Schroder, 2011 #53349" w:history="1">
        <w:r>
          <w:fldChar w:fldCharType="begin"/>
        </w:r>
        <w:r>
          <w:instrText xml:space="preserve"> ADDIN EN.CITE &lt;EndNote&gt;&lt;Cite&gt;&lt;Author&gt;Schroder&lt;/Author&gt;&lt;Year&gt;2011&lt;/Year&gt;&lt;RecNum&gt;53349&lt;/RecNum&gt;&lt;DisplayText&gt;&lt;style face="superscript"&gt;4&lt;/style&gt;&lt;/DisplayText&gt;&lt;record&gt;&lt;rec-number&gt;53349&lt;/rec-number&gt;&lt;foreign-keys&gt;&lt;key app="EN" db-id="zssrt05ea5a9vvew0zqpxsscdsp2x55xwt99"&gt;53349&lt;/key&gt;&lt;/foreign-keys&gt;&lt;ref-type name="Journal Article"&gt;17&lt;/ref-type&gt;&lt;contributors&gt;&lt;authors&gt;&lt;author&gt;Schroder, S.&lt;/author&gt;&lt;author&gt;Kuessner, D.&lt;/author&gt;&lt;author&gt;Arnold, G.&lt;/author&gt;&lt;author&gt;Zollner, Y.&lt;/author&gt;&lt;author&gt;Jones, E.&lt;/author&gt;&lt;author&gt;Schaefer, M.&lt;/author&gt;&lt;/authors&gt;&lt;/contributors&gt;&lt;auth-address&gt;Institute of Clinical Pharmacology, Charite University Medicine, CCM, Berlin, Germany;&lt;/auth-address&gt;&lt;titles&gt;&lt;title&gt;Do neurologists in Germany adhere to the national Parkinson&amp;apos;s disease guideline?&lt;/title&gt;&lt;secondary-title&gt;Neuropsychiatr Dis Treat&lt;/secondary-title&gt;&lt;alt-title&gt;Neuropsychiatric disease and treatment&lt;/alt-title&gt;&lt;/titles&gt;&lt;periodical&gt;&lt;full-title&gt;Neuropsychiatr Dis Treat&lt;/full-title&gt;&lt;abbr-1&gt;Neuropsychiatric disease and treatment&lt;/abbr-1&gt;&lt;/periodical&gt;&lt;alt-periodical&gt;&lt;full-title&gt;Neuropsychiatr Dis Treat&lt;/full-title&gt;&lt;abbr-1&gt;Neuropsychiatric disease and treatment&lt;/abbr-1&gt;&lt;/alt-periodical&gt;&lt;pages&gt;103-10&lt;/pages&gt;&lt;volume&gt;7&lt;/volume&gt;&lt;dates&gt;&lt;year&gt;2011&lt;/year&gt;&lt;/dates&gt;&lt;isbn&gt;1178-2021 (Electronic)&amp;#xD;1176-6328 (Linking)&lt;/isbn&gt;&lt;accession-num&gt;21552312&lt;/accession-num&gt;&lt;urls&gt;&lt;related-urls&gt;&lt;url&gt;http://www.ncbi.nlm.nih.gov/pubmed/21552312&lt;/url&gt;&lt;/related-urls&gt;&lt;/urls&gt;&lt;custom2&gt;3083983&lt;/custom2&gt;&lt;electronic-resource-num&gt;10.2147/NDT.S8895&lt;/electronic-resource-num&gt;&lt;/record&gt;&lt;/Cite&gt;&lt;/EndNote&gt;</w:instrText>
        </w:r>
        <w:r>
          <w:fldChar w:fldCharType="separate"/>
        </w:r>
        <w:r w:rsidRPr="003715CD">
          <w:rPr>
            <w:noProof/>
            <w:vertAlign w:val="superscript"/>
          </w:rPr>
          <w:t>4</w:t>
        </w:r>
        <w:r>
          <w:fldChar w:fldCharType="end"/>
        </w:r>
      </w:hyperlink>
      <w:r>
        <w:t>. The lives of tens of thousands of Parkinson’s patients have been transformed by DBS, a therapy method, I might add, which was developed in monkeys. Implantation of DBS leads is carried out at the highest imaginable quality level. Nonetheless, lead-induced transient hematomas and potentially permanent deficits can occur in 3.3% and 0.5-1% of the cases, respectively. These percentages increase significantly when microelectrode recordings are used to verify anatomical targeting</w:t>
      </w:r>
      <w:hyperlink w:anchor="_ENREF_5" w:tooltip="Binder, 2003 #53367" w:history="1">
        <w:r>
          <w:fldChar w:fldCharType="begin"/>
        </w:r>
        <w:r>
          <w:instrText xml:space="preserve"> ADDIN EN.CITE &lt;EndNote&gt;&lt;Cite&gt;&lt;Author&gt;Binder&lt;/Author&gt;&lt;Year&gt;2003&lt;/Year&gt;&lt;RecNum&gt;53367&lt;/RecNum&gt;&lt;DisplayText&gt;&lt;style face="superscript"&gt;5&lt;/style&gt;&lt;/DisplayText&gt;&lt;record&gt;&lt;rec-number&gt;53367&lt;/rec-number&gt;&lt;foreign-keys&gt;&lt;key app="EN" db-id="zssrt05ea5a9vvew0zqpxsscdsp2x55xwt99"&gt;53367&lt;/key&gt;&lt;/foreign-keys&gt;&lt;ref-type name="Journal Article"&gt;17&lt;/ref-type&gt;&lt;contributors&gt;&lt;authors&gt;&lt;author&gt;Binder, D. K.&lt;/author&gt;&lt;author&gt;Rau, G.&lt;/author&gt;&lt;author&gt;Starr, P. A.&lt;/author&gt;&lt;/authors&gt;&lt;/contributors&gt;&lt;auth-address&gt;Department of Neurological Surgery, University of California, San Francisco, CA 94143-0112, USA. dbinder@itsa.ucsf.edu&lt;/auth-address&gt;&lt;titles&gt;&lt;title&gt;Hemorrhagic complications of microelectrode-guided deep brain stimulation&lt;/title&gt;&lt;secondary-title&gt;Stereotact Funct Neurosurg&lt;/secondary-title&gt;&lt;alt-title&gt;Stereotactic and functional neurosurgery&lt;/alt-title&gt;&lt;/titles&gt;&lt;periodical&gt;&lt;full-title&gt;Stereotact Funct Neurosurg&lt;/full-title&gt;&lt;/periodical&gt;&lt;alt-periodical&gt;&lt;full-title&gt;Stereotactic and Functional Neurosurgery&lt;/full-title&gt;&lt;/alt-periodical&gt;&lt;pages&gt;28-31&lt;/pages&gt;&lt;volume&gt;80&lt;/volume&gt;&lt;number&gt;1-4&lt;/number&gt;&lt;keywords&gt;&lt;keyword&gt;Cerebral Hemorrhage/epidemiology/*etiology&lt;/keyword&gt;&lt;keyword&gt;Electric Stimulation Therapy/*adverse effects&lt;/keyword&gt;&lt;keyword&gt;Globus Pallidus/surgery&lt;/keyword&gt;&lt;keyword&gt;Humans&lt;/keyword&gt;&lt;keyword&gt;Incidence&lt;/keyword&gt;&lt;keyword&gt;Microelectrodes/*adverse effects&lt;/keyword&gt;&lt;keyword&gt;Movement Disorders/epidemiology/surgery/*therapy&lt;/keyword&gt;&lt;keyword&gt;Postoperative Complications/epidemiology&lt;/keyword&gt;&lt;keyword&gt;Risk Factors&lt;/keyword&gt;&lt;keyword&gt;Subthalamic Nucleus/surgery&lt;/keyword&gt;&lt;keyword&gt;Thalamus/surgery&lt;/keyword&gt;&lt;/keywords&gt;&lt;dates&gt;&lt;year&gt;2003&lt;/year&gt;&lt;/dates&gt;&lt;isbn&gt;1011-6125 (Print)&amp;#xD;1011-6125 (Linking)&lt;/isbn&gt;&lt;accession-num&gt;14745205&lt;/accession-num&gt;&lt;urls&gt;&lt;related-urls&gt;&lt;url&gt;http://www.ncbi.nlm.nih.gov/pubmed/14745205&lt;/url&gt;&lt;/related-urls&gt;&lt;/urls&gt;&lt;electronic-resource-num&gt;75156&lt;/electronic-resource-num&gt;&lt;/record&gt;&lt;/Cite&gt;&lt;/EndNote&gt;</w:instrText>
        </w:r>
        <w:r>
          <w:fldChar w:fldCharType="separate"/>
        </w:r>
        <w:r w:rsidRPr="00B64EE8">
          <w:rPr>
            <w:noProof/>
            <w:vertAlign w:val="superscript"/>
          </w:rPr>
          <w:t>5</w:t>
        </w:r>
        <w:r>
          <w:fldChar w:fldCharType="end"/>
        </w:r>
      </w:hyperlink>
      <w:r>
        <w:t>, with i</w:t>
      </w:r>
      <w:r w:rsidRPr="00F51DFE">
        <w:t>nfection</w:t>
      </w:r>
      <w:r>
        <w:t>s</w:t>
      </w:r>
      <w:r w:rsidRPr="00F51DFE">
        <w:t xml:space="preserve"> </w:t>
      </w:r>
      <w:r>
        <w:t xml:space="preserve">generally occurring </w:t>
      </w:r>
      <w:r w:rsidRPr="00F51DFE">
        <w:t>in 5% to 8% of patients</w:t>
      </w:r>
      <w:hyperlink w:anchor="_ENREF_6" w:tooltip="Lyons, 2004 #53380" w:history="1">
        <w:r>
          <w:fldChar w:fldCharType="begin"/>
        </w:r>
        <w:r>
          <w:instrText xml:space="preserve"> ADDIN EN.CITE &lt;EndNote&gt;&lt;Cite&gt;&lt;Author&gt;Lyons&lt;/Author&gt;&lt;Year&gt;2004&lt;/Year&gt;&lt;RecNum&gt;53380&lt;/RecNum&gt;&lt;DisplayText&gt;&lt;style face="superscript"&gt;6&lt;/style&gt;&lt;/DisplayText&gt;&lt;record&gt;&lt;rec-number&gt;53380&lt;/rec-number&gt;&lt;foreign-keys&gt;&lt;key app="EN" db-id="zssrt05ea5a9vvew0zqpxsscdsp2x55xwt99"&gt;53380&lt;/key&gt;&lt;/foreign-keys&gt;&lt;ref-type name="Journal Article"&gt;17&lt;/ref-type&gt;&lt;contributors&gt;&lt;authors&gt;&lt;author&gt;Lyons, K. E.&lt;/author&gt;&lt;author&gt;Pahwa, R.&lt;/author&gt;&lt;/authors&gt;&lt;/contributors&gt;&lt;auth-address&gt;Department of Neurology, University of Kansas Medical Center, 3599 Rainbow Boulevard, Mailstop 2012, Kansas City, KS 66160, USA. lyons.kelly@att.net&lt;/auth-address&gt;&lt;titles&gt;&lt;title&gt;Deep brain stimulation in Parkinson&amp;apos;s disease&lt;/title&gt;&lt;secondary-title&gt;Curr Neurol Neurosci Rep&lt;/secondary-title&gt;&lt;alt-title&gt;Current neurology and neuroscience reports&lt;/alt-title&gt;&lt;/titles&gt;&lt;alt-periodical&gt;&lt;full-title&gt;Current Neurology and Neuroscience Reports&lt;/full-title&gt;&lt;/alt-periodical&gt;&lt;pages&gt;290-5&lt;/pages&gt;&lt;volume&gt;4&lt;/volume&gt;&lt;number&gt;4&lt;/number&gt;&lt;keywords&gt;&lt;keyword&gt;Animals&lt;/keyword&gt;&lt;keyword&gt;Electric Stimulation Therapy/*methods&lt;/keyword&gt;&lt;keyword&gt;Globus Pallidus/*physiology&lt;/keyword&gt;&lt;keyword&gt;Humans&lt;/keyword&gt;&lt;keyword&gt;Parkinson Disease/physiopathology/*therapy&lt;/keyword&gt;&lt;keyword&gt;Thalamus/*physiology&lt;/keyword&gt;&lt;/keywords&gt;&lt;dates&gt;&lt;year&gt;2004&lt;/year&gt;&lt;pub-dates&gt;&lt;date&gt;Jul&lt;/date&gt;&lt;/pub-dates&gt;&lt;/dates&gt;&lt;isbn&gt;1528-4042 (Print)&amp;#xD;1528-4042 (Linking)&lt;/isbn&gt;&lt;accession-num&gt;15217543&lt;/accession-num&gt;&lt;urls&gt;&lt;related-urls&gt;&lt;url&gt;http://www.ncbi.nlm.nih.gov/pubmed/15217543&lt;/url&gt;&lt;/related-urls&gt;&lt;/urls&gt;&lt;/record&gt;&lt;/Cite&gt;&lt;/EndNote&gt;</w:instrText>
        </w:r>
        <w:r>
          <w:fldChar w:fldCharType="separate"/>
        </w:r>
        <w:r w:rsidRPr="00F51DFE">
          <w:rPr>
            <w:noProof/>
            <w:vertAlign w:val="superscript"/>
          </w:rPr>
          <w:t>6</w:t>
        </w:r>
        <w:r>
          <w:fldChar w:fldCharType="end"/>
        </w:r>
      </w:hyperlink>
      <w:r>
        <w:t>.</w:t>
      </w:r>
    </w:p>
    <w:p w:rsidR="00467684" w:rsidRDefault="00467684" w:rsidP="00ED4D71">
      <w:r>
        <w:t xml:space="preserve">Just as in humans, brain injury can occur from recording electrodes in animals, and this was recently exploited to misrepresent and discredit our experimental procedures and to stir up public sentiment against out lab and raise doubts about the well-being of our animals. In specific, a caregiver supported by the </w:t>
      </w:r>
      <w:r w:rsidRPr="00074341">
        <w:t>British Union for the Abolition of Vivisection (BUAV)</w:t>
      </w:r>
      <w:r>
        <w:t xml:space="preserve"> and the German animal protection organization SOKO infiltrated our primate facilities and “investigated” our procedures and the condition of our animals. The caregiver filmed an animal called “Stella” during a rare emergency situation and presented it in a Stern TV broadcast, exploiting the natural emotional reaction of an uninformed public. This perfidious campaign presented a rare incident as typical, reported partial facts or facts out of context to arrive at the desired conclusions, made false claims and even created artifacts.</w:t>
      </w:r>
    </w:p>
    <w:p w:rsidR="00467684" w:rsidRDefault="00467684" w:rsidP="00ED4D71">
      <w:r>
        <w:t>Damage to the brain’s vasculature during electrode penetration can lead to hemiparesis, and in cases where there is also infection, increased intracranial blood pressure may induce emesis. I personally have seen animals with hemiparesis a total of 4 to 5 times in more than 30 years of actively working with primates, and Stella’s case was unique. Although we never take such complications lightly, the fact remains that they may occur even though electrode placement in our laboratory, just like in the hospital setting, follows the precise localization of target structures on the basis of anatomical and angiographic MRI. Animal-protection regulations suggest first attempting to treat an injured monkey before the responsible veterinarian decides to euthanatize the animal. It was during such a prescribed treatment period that the caregiver, Mr. Andrzej Pazgan (</w:t>
      </w:r>
      <w:r w:rsidRPr="004C3694">
        <w:t>alias Pawel</w:t>
      </w:r>
      <w:r>
        <w:t>), made the broadcasted movie.</w:t>
      </w:r>
    </w:p>
    <w:p w:rsidR="00467684" w:rsidRDefault="00467684" w:rsidP="007869A3">
      <w:r>
        <w:t>T</w:t>
      </w:r>
      <w:r w:rsidRPr="006F1612">
        <w:t xml:space="preserve">he footage </w:t>
      </w:r>
      <w:r>
        <w:t xml:space="preserve">also </w:t>
      </w:r>
      <w:r w:rsidRPr="006F1612">
        <w:t xml:space="preserve">showed a bleeding animal </w:t>
      </w:r>
      <w:r>
        <w:t>ripping</w:t>
      </w:r>
      <w:r w:rsidRPr="006F1612">
        <w:t xml:space="preserve"> its wound and implant. Following surgery</w:t>
      </w:r>
      <w:r>
        <w:t xml:space="preserve">, we always make sure that sufficient analgesia is administered to the animals. </w:t>
      </w:r>
      <w:r w:rsidRPr="006F1612">
        <w:t>When the animal is returned to its cage, medical assistants and caregivers have always carefully followed a standardized recovery protocol under veterinarian supervision</w:t>
      </w:r>
      <w:r>
        <w:t xml:space="preserve">. We regularly observe examination of the implant by the monkey, expressed by gentle touching and picking, but none of us had ever seen a monkey ripping at the implant as a consequence of suffering from pain. If this were the case, the observer is instructed to call the veterinarian immediately. After this movie was published, none of the responsible persons in the institute could trace back any alert about this incident from the undercover-caregiver, who was in charge – and in charge of reporting it. In part, the bleeding might be a result of this clawing, but most of the “bleeding” visible in the Stern TV broadcast  shows </w:t>
      </w:r>
      <w:r w:rsidRPr="00796CEA">
        <w:t>ichor</w:t>
      </w:r>
      <w:r>
        <w:t xml:space="preserve">, not hemorrhage, which is a normal physiological reaction after a surgery. In human surgeries this is managed by the use of bandages or drainages, which cannot be used in monkeys. To prevent hematoma or the accumulation of fluid under the skin, the sutures are spaced farther apart in order to allow the fluid to drain off. Additionally, the head of the monkey is covered with residual Betadine and tissue glue which was used during surgery, which makes it appear even more critical. Until recently, the post-surgery observation prescribed in our </w:t>
      </w:r>
      <w:r w:rsidRPr="006F1612">
        <w:t>standardized recovery protocol</w:t>
      </w:r>
      <w:r>
        <w:t xml:space="preserve"> could not be </w:t>
      </w:r>
      <w:r w:rsidRPr="006F1612">
        <w:t>continued during the night hours.</w:t>
      </w:r>
      <w:r>
        <w:t xml:space="preserve"> Thus, the veterinarian always made sure that analgesic treatment was sufficient to last overnight. Although we rarely faced problems before, a</w:t>
      </w:r>
      <w:r w:rsidRPr="006F1612">
        <w:t>dditional staff has since been approved by the Max Planck Society</w:t>
      </w:r>
      <w:r>
        <w:t xml:space="preserve"> (MPS)</w:t>
      </w:r>
      <w:r w:rsidRPr="006F1612">
        <w:t xml:space="preserve"> to </w:t>
      </w:r>
      <w:r>
        <w:t xml:space="preserve">enable us to </w:t>
      </w:r>
      <w:r w:rsidRPr="006F1612">
        <w:t>establish an overnight “intensive care station” regime</w:t>
      </w:r>
      <w:r>
        <w:t>.</w:t>
      </w:r>
    </w:p>
    <w:p w:rsidR="00467684" w:rsidRDefault="00467684" w:rsidP="003A2254">
      <w:r>
        <w:t xml:space="preserve">Lastly, in their effort to “disclose” the animal suffering in our institute, BUAV/SOKO presented a couple of animals with unusual stereotypical movement patterns, such as animals continuously turning in circles. Such behavior patterns are often observed in animals living in small single-animal cages. Our monkeys are held in a natural group setting with an enriched, stimulating environment. Small cages are only used for short times, i.e. if there is  some need to separate an animal from the group, e.g. for medical treatment Such stereotypical movements have not been witnessed in our facilities for over 16 years. They can, however, be induced by any person standing too close to the cages, in particular when the animal is in a small cage and becomes nervous. In the filmed case, such stereotypical movements were almost certainly induced intentionally by the caregiver. </w:t>
      </w:r>
    </w:p>
    <w:p w:rsidR="00467684" w:rsidRDefault="00467684" w:rsidP="00BB42D5">
      <w:r>
        <w:t xml:space="preserve">In the 125-page document sent out by BUAV/SOKO after their infiltration and secret filming, the organizations allege that inappropriate anesthesia is used, despite the full and open description of anesthesia protocols in our publications and on the MPIBC website. They claim specifically that that we use ketamine anesthesia for major surgical procedures such as craniotomies, headpost and eye-coil implantation. This is quite simply not true. Our </w:t>
      </w:r>
      <w:r>
        <w:lastRenderedPageBreak/>
        <w:t>surgical facilities are equipped with standard (human) clinical anesthesia machines, and the balanced-anesthesia protocols used in our laboratory were introduced by anesthesiologists who also trained our personnel. In fact, we even took the time to study and publish the state of the animals during anesthesia, determined by closely monitoring several physiological parameters, including stress hormones</w:t>
      </w:r>
      <w:hyperlink w:anchor="_ENREF_7" w:tooltip="Logothetis, 1999 #49193" w:history="1">
        <w:r>
          <w:fldChar w:fldCharType="begin"/>
        </w:r>
        <w:r>
          <w:instrText xml:space="preserve"> ADDIN EN.CITE &lt;EndNote&gt;&lt;Cite&gt;&lt;Author&gt;Logothetis&lt;/Author&gt;&lt;Year&gt;1999&lt;/Year&gt;&lt;RecNum&gt;49193&lt;/RecNum&gt;&lt;DisplayText&gt;&lt;style face="superscript"&gt;7&lt;/style&gt;&lt;/DisplayText&gt;&lt;record&gt;&lt;rec-number&gt;49193&lt;/rec-number&gt;&lt;foreign-keys&gt;&lt;key app="EN" db-id="zssrt05ea5a9vvew0zqpxsscdsp2x55xwt99"&gt;49193&lt;/key&gt;&lt;/foreign-keys&gt;&lt;ref-type name="Journal Article"&gt;17&lt;/ref-type&gt;&lt;contributors&gt;&lt;authors&gt;&lt;author&gt;Logothetis, N. K.&lt;/author&gt;&lt;author&gt;Guggenberger, H.&lt;/author&gt;&lt;author&gt;Peled, S.&lt;/author&gt;&lt;author&gt;Pauls, J. M.&lt;/author&gt;&lt;/authors&gt;&lt;/contributors&gt;&lt;titles&gt;&lt;title&gt;Functional imaging of the monkey brain&lt;/title&gt;&lt;secondary-title&gt;Nature Neuroscience&lt;/secondary-title&gt;&lt;alt-title&gt;Nature Neurosci.&lt;/alt-title&gt;&lt;/titles&gt;&lt;periodical&gt;&lt;full-title&gt;Nature Neuroscience&lt;/full-title&gt;&lt;/periodical&gt;&lt;pages&gt;555-562&lt;/pages&gt;&lt;volume&gt;2&lt;/volume&gt;&lt;number&gt;6&lt;/number&gt;&lt;section&gt;555&lt;/section&gt;&lt;dates&gt;&lt;year&gt;1999&lt;/year&gt;&lt;pub-dates&gt;&lt;date&gt;Jun 1999&lt;/date&gt;&lt;/pub-dates&gt;&lt;/dates&gt;&lt;isbn&gt;1097-6256&lt;/isbn&gt;&lt;work-type&gt;Article&lt;/work-type&gt;&lt;urls&gt;&lt;related-urls&gt;&lt;url&gt;&amp;lt;Go to ISI&amp;gt;://000084735900016&lt;/url&gt;&lt;/related-urls&gt;&lt;pdf-urls&gt;&lt;url&gt;file://F:\Shared\NKL\Publications\Logothetis Guggenberger Peled et al_Nature Neuroscience_1999.pdf&lt;/url&gt;&lt;/pdf-urls&gt;&lt;/urls&gt;&lt;electronic-resource-num&gt;10.1038/9210&lt;/electronic-resource-num&gt;&lt;/record&gt;&lt;/Cite&gt;&lt;/EndNote&gt;</w:instrText>
        </w:r>
        <w:r>
          <w:fldChar w:fldCharType="separate"/>
        </w:r>
        <w:r w:rsidRPr="00C747D0">
          <w:rPr>
            <w:noProof/>
            <w:vertAlign w:val="superscript"/>
          </w:rPr>
          <w:t>7</w:t>
        </w:r>
        <w:r>
          <w:fldChar w:fldCharType="end"/>
        </w:r>
      </w:hyperlink>
      <w:r>
        <w:t>.</w:t>
      </w:r>
    </w:p>
    <w:p w:rsidR="00467684" w:rsidRDefault="00467684" w:rsidP="00BB42D5">
      <w:r>
        <w:t xml:space="preserve">BUAV/SOKO also claims that we use “severe water deprivation”. This is not the case and never was. Firstly, </w:t>
      </w:r>
      <w:r w:rsidRPr="005813CB">
        <w:t>out of 42 monkeys only 8 are used for behavioral experiments, and none of these experiments ever required severe water deprivation.</w:t>
      </w:r>
      <w:r>
        <w:t xml:space="preserve"> The organization ignores the clear distinction between distressing, extreme thirst and an absence of satiation that will make a juice reward pleasant. Our monkeys are not kept in a state of severe or even unpleasant thirst, but in the experimental context we do not provide liquids to the point that the monkey will refuse to drink. It appears, however, that the organization decided ahead of time that it wanted to show that we treat our monkeys poorly, for the examples used as evidence are completely irrelevant to this issue. When reporting that deprivation was used to train the animals to enter the primate chairs commonly used in behavioral experiments, the organizations often refer to protocols and monkeys that were used exclusively in anesthetized preparation and requiring no liquid reward or chair training at all. None of our experimental protocols and training procedures have ever used negative reinforcement such as aversive saline, and claims to the contrary are simply false.</w:t>
      </w:r>
    </w:p>
    <w:p w:rsidR="00467684" w:rsidRDefault="00467684" w:rsidP="00BB42D5">
      <w:r>
        <w:t>Unhappily, the BUAV/SOKO report</w:t>
      </w:r>
      <w:r w:rsidRPr="00BB42D5">
        <w:t xml:space="preserve"> </w:t>
      </w:r>
      <w:r>
        <w:t xml:space="preserve">– already circulated in the European Commission and other governmental and regulatory agencies in Germany – utterly </w:t>
      </w:r>
      <w:r w:rsidRPr="00914877">
        <w:t xml:space="preserve">violates the constitutional right </w:t>
      </w:r>
      <w:r>
        <w:t>to privacy of correspondence by publishing illicitly intercepted email communications between collaborators and the veterinarians, which are then systematically presented out of context.</w:t>
      </w:r>
    </w:p>
    <w:p w:rsidR="00467684" w:rsidRDefault="00467684" w:rsidP="006056D4">
      <w:r>
        <w:t xml:space="preserve">Among the false allegations is also the bizarre claim that animal research in MPIBC is shrouded in secrecy. Ironically, our institute is probably the only primate research facility worldwide that has continuously tried to operate under conditions of maximum transparency. Firstly, we have urged the authorities to visit our facilities any time they wish, without any prior warning, in order to objectively check the state of the animals. In fact, I have personally offered the key of our facilities to the Regierungspräsidium, but they were reluctant to accept it, seeing it as potential violation of regulations. We have repeatedly invited all of the other directors at the Tübingen Max Planck campus, the ministers of Baden-Wurttemberg, the mayor of the city, and even the German TV Channel Two (ZDF) to film our facilities and our surgical procedures. Sadly, the result of several hours of filming and photography by the ZDV </w:t>
      </w:r>
      <w:r w:rsidRPr="00140139">
        <w:t xml:space="preserve">were </w:t>
      </w:r>
      <w:r>
        <w:t>filtered and reduced to the point of unrecognizability and presented out of context</w:t>
      </w:r>
      <w:r w:rsidRPr="005147BA">
        <w:t xml:space="preserve"> </w:t>
      </w:r>
      <w:r>
        <w:t>to support foregone conclusions. Our website provides full details on our research, our procedures, and our extensive efforts to ensure the well-being of our animals, which ultimately guarantees the integrity of our results. Unfortunately, where full disclosure has been made, as on this website, the veracity of our voluntarily provided information was called into question. Although our own laboratory was targeted, such strategies ultimately threaten all animal research and indeed all basic research.</w:t>
      </w:r>
    </w:p>
    <w:p w:rsidR="00467684" w:rsidRDefault="00467684" w:rsidP="00882522">
      <w:r>
        <w:t xml:space="preserve">Following the infiltration, the quality of our facilities and procedures was again publicly evaluated by an external investigator employed by MPS. </w:t>
      </w:r>
      <w:r w:rsidRPr="00ED1584">
        <w:t xml:space="preserve">His report </w:t>
      </w:r>
      <w:r>
        <w:t>stresses</w:t>
      </w:r>
      <w:r w:rsidRPr="00ED1584">
        <w:t xml:space="preserve"> that any</w:t>
      </w:r>
      <w:r>
        <w:t xml:space="preserve"> medical intervention, whether i</w:t>
      </w:r>
      <w:r w:rsidRPr="00ED1584">
        <w:t>n humans or animals, always carries risks such as post-operative hemorrhage or suture insufficiency. His report recommends modifications to the Institute’s animal care regime but does not, despite the BUAV’s allegations</w:t>
      </w:r>
      <w:r>
        <w:t xml:space="preserve"> to the contrary</w:t>
      </w:r>
      <w:r w:rsidRPr="00ED1584">
        <w:t xml:space="preserve">, </w:t>
      </w:r>
      <w:r>
        <w:t xml:space="preserve">see fundamental systematic problems. Despite the efforts of BUAV/SOKO to make it appear otherwise, the MPIBC is considered by the international scientific community to be one of </w:t>
      </w:r>
      <w:r w:rsidRPr="0072048D">
        <w:t xml:space="preserve">the best </w:t>
      </w:r>
      <w:r>
        <w:t xml:space="preserve">institutes worldwide </w:t>
      </w:r>
      <w:r w:rsidRPr="0072048D">
        <w:t>in terms of ani</w:t>
      </w:r>
      <w:r>
        <w:t>mal welfare, standards of care, and transparency.</w:t>
      </w:r>
    </w:p>
    <w:p w:rsidR="00467684" w:rsidRDefault="00467684" w:rsidP="009F49F2">
      <w:pPr>
        <w:rPr>
          <w:szCs w:val="20"/>
        </w:rPr>
      </w:pPr>
      <w:r>
        <w:t xml:space="preserve">Donations to organizations such as BUAV or SOKO might sooth the conscience of animal lovers, but are the activities of antivivisectionists appropriate and reasonable in today’s world? </w:t>
      </w:r>
      <w:r w:rsidRPr="00D1362A">
        <w:t xml:space="preserve">The Beijing municipal government attempted to establish “strict regulations” </w:t>
      </w:r>
      <w:r>
        <w:t>in an</w:t>
      </w:r>
      <w:r w:rsidRPr="00D1362A">
        <w:t xml:space="preserve"> animal welfare law. The draft was withdrawn 2 days later, because a huge number of Chinese reacted</w:t>
      </w:r>
      <w:r w:rsidRPr="00E8354F">
        <w:t xml:space="preserve"> </w:t>
      </w:r>
      <w:r w:rsidRPr="00D1362A">
        <w:t>strongly</w:t>
      </w:r>
      <w:r>
        <w:t>,</w:t>
      </w:r>
      <w:r w:rsidRPr="00D1362A">
        <w:t xml:space="preserve"> stating that while monkeys in certain laboratories </w:t>
      </w:r>
      <w:r>
        <w:t>are provided with food</w:t>
      </w:r>
      <w:r w:rsidRPr="00D1362A">
        <w:t>, drink</w:t>
      </w:r>
      <w:r>
        <w:t xml:space="preserve">, </w:t>
      </w:r>
      <w:r w:rsidRPr="00D1362A">
        <w:t xml:space="preserve">toys and </w:t>
      </w:r>
      <w:r>
        <w:t>even</w:t>
      </w:r>
      <w:r w:rsidRPr="00D1362A">
        <w:t xml:space="preserve"> music, more than one tenth of the population </w:t>
      </w:r>
      <w:r>
        <w:t>must live</w:t>
      </w:r>
      <w:r w:rsidRPr="00D1362A">
        <w:t xml:space="preserve"> on less than $1 a day</w:t>
      </w:r>
      <w:hyperlink w:anchor="_ENREF_8" w:tooltip="Hao, 2007 #53384" w:history="1">
        <w:r>
          <w:fldChar w:fldCharType="begin"/>
        </w:r>
        <w:r>
          <w:instrText xml:space="preserve"> ADDIN EN.CITE &lt;EndNote&gt;&lt;Cite&gt;&lt;Author&gt;Hao&lt;/Author&gt;&lt;Year&gt;2007&lt;/Year&gt;&lt;RecNum&gt;53384&lt;/RecNum&gt;&lt;DisplayText&gt;&lt;style face="superscript"&gt;8&lt;/style&gt;&lt;/DisplayText&gt;&lt;record&gt;&lt;rec-number&gt;53384&lt;/rec-number&gt;&lt;foreign-keys&gt;&lt;key app="EN" db-id="zssrt05ea5a9vvew0zqpxsscdsp2x55xwt99"&gt;53384&lt;/key&gt;&lt;/foreign-keys&gt;&lt;ref-type name="Journal Article"&gt;17&lt;/ref-type&gt;&lt;contributors&gt;&lt;authors&gt;&lt;author&gt;Hao, Xin&lt;/author&gt;&lt;/authors&gt;&lt;/contributors&gt;&lt;titles&gt;&lt;title&gt;Monkey research in China: developing a natural resource&lt;/title&gt;&lt;secondary-title&gt;Cell&lt;/secondary-title&gt;&lt;/titles&gt;&lt;periodical&gt;&lt;full-title&gt;Cell&lt;/full-title&gt;&lt;/periodical&gt;&lt;pages&gt;1033-1036&lt;/pages&gt;&lt;volume&gt;129&lt;/volume&gt;&lt;number&gt;6&lt;/number&gt;&lt;dates&gt;&lt;year&gt;2007&lt;/year&gt;&lt;/dates&gt;&lt;isbn&gt;0092-8674&lt;/isbn&gt;&lt;urls&gt;&lt;/urls&gt;&lt;/record&gt;&lt;/Cite&gt;&lt;/EndNote&gt;</w:instrText>
        </w:r>
        <w:r>
          <w:fldChar w:fldCharType="separate"/>
        </w:r>
        <w:r w:rsidRPr="008A6A23">
          <w:rPr>
            <w:noProof/>
            <w:vertAlign w:val="superscript"/>
          </w:rPr>
          <w:t>8</w:t>
        </w:r>
        <w:r>
          <w:fldChar w:fldCharType="end"/>
        </w:r>
      </w:hyperlink>
      <w:r w:rsidRPr="00D1362A">
        <w:t>, the World Bank</w:t>
      </w:r>
      <w:r>
        <w:t>’s</w:t>
      </w:r>
      <w:r w:rsidRPr="00D1362A">
        <w:t xml:space="preserve"> </w:t>
      </w:r>
      <w:r>
        <w:t>definition of</w:t>
      </w:r>
      <w:r w:rsidRPr="00D1362A">
        <w:t xml:space="preserve"> abject poverty. Thousands of needless deaths occurred from famine in East Africa last year because the international community failed to heed early warnings, say two leading British aid organizations</w:t>
      </w:r>
      <w:r>
        <w:t xml:space="preserve"> (</w:t>
      </w:r>
      <w:hyperlink r:id="rId8" w:history="1">
        <w:r w:rsidRPr="002B22EF">
          <w:rPr>
            <w:rStyle w:val="Hyperlink"/>
            <w:szCs w:val="20"/>
          </w:rPr>
          <w:t>Hunger</w:t>
        </w:r>
      </w:hyperlink>
      <w:r>
        <w:rPr>
          <w:rStyle w:val="Hyperlink"/>
          <w:szCs w:val="20"/>
        </w:rPr>
        <w:t>)</w:t>
      </w:r>
      <w:r w:rsidRPr="00D1362A">
        <w:t xml:space="preserve">. </w:t>
      </w:r>
      <w:r>
        <w:t>C</w:t>
      </w:r>
      <w:r w:rsidRPr="00D1362A">
        <w:t xml:space="preserve">hildren are the most visible victims of </w:t>
      </w:r>
      <w:r>
        <w:t>mal</w:t>
      </w:r>
      <w:r w:rsidRPr="00D1362A">
        <w:t>nutrition. Dirty w</w:t>
      </w:r>
      <w:r>
        <w:t>ater kills 5,000 children a day</w:t>
      </w:r>
      <w:r w:rsidRPr="00D1362A">
        <w:t xml:space="preserve">, </w:t>
      </w:r>
      <w:r>
        <w:t xml:space="preserve">and </w:t>
      </w:r>
      <w:r w:rsidRPr="00D1362A">
        <w:t>nearly two million children a year die for want of clean water and proper sanitation while the world's poor often pay more for their water than people in Britain or the US</w:t>
      </w:r>
      <w:r>
        <w:t xml:space="preserve"> (</w:t>
      </w:r>
      <w:hyperlink r:id="rId9" w:history="1">
        <w:r w:rsidRPr="002B22EF">
          <w:rPr>
            <w:rStyle w:val="Hyperlink"/>
            <w:szCs w:val="20"/>
          </w:rPr>
          <w:t>Water-Need</w:t>
        </w:r>
      </w:hyperlink>
      <w:r>
        <w:rPr>
          <w:szCs w:val="20"/>
        </w:rPr>
        <w:t xml:space="preserve">, </w:t>
      </w:r>
      <w:r w:rsidRPr="008A6A23">
        <w:rPr>
          <w:i/>
          <w:szCs w:val="20"/>
        </w:rPr>
        <w:t>see also figure in the end of the document</w:t>
      </w:r>
      <w:r>
        <w:rPr>
          <w:szCs w:val="20"/>
        </w:rPr>
        <w:t xml:space="preserve">). </w:t>
      </w:r>
    </w:p>
    <w:p w:rsidR="00467684" w:rsidRDefault="00467684" w:rsidP="009F49F2">
      <w:pPr>
        <w:rPr>
          <w:szCs w:val="20"/>
        </w:rPr>
      </w:pPr>
      <w:r>
        <w:rPr>
          <w:szCs w:val="20"/>
        </w:rPr>
        <w:lastRenderedPageBreak/>
        <w:t>BUAV/SOKO indicated that “</w:t>
      </w:r>
      <w:r w:rsidRPr="008A6A23">
        <w:rPr>
          <w:b/>
          <w:szCs w:val="20"/>
        </w:rPr>
        <w:t>the institute has identified a need for improvements</w:t>
      </w:r>
      <w:r>
        <w:rPr>
          <w:szCs w:val="20"/>
        </w:rPr>
        <w:t>”. For the sake of accuracy, it was the Max Planck Society and not the “institute” that identified this need, and the “improvements” referred to the approval of additional personnel resources for the institute. It was never suggested that our procedures and protocols were at fault or that our caregivers were not acting in an absolutely professional manner. W</w:t>
      </w:r>
      <w:r w:rsidRPr="008A6A23">
        <w:rPr>
          <w:szCs w:val="20"/>
        </w:rPr>
        <w:t>e gratefully acknowledge the additional fi</w:t>
      </w:r>
      <w:r>
        <w:rPr>
          <w:szCs w:val="20"/>
        </w:rPr>
        <w:t>nancial support from the MPS, but we also note that t</w:t>
      </w:r>
      <w:r w:rsidRPr="008A6A23">
        <w:rPr>
          <w:szCs w:val="20"/>
        </w:rPr>
        <w:t>he exigencies of budgets will always exist, just as they do in a human hospital</w:t>
      </w:r>
      <w:r>
        <w:rPr>
          <w:szCs w:val="20"/>
        </w:rPr>
        <w:t>; and so will the needs of improvement of welfare of humans. The latter issue appears to be of less importance to the animal-protection organizations.</w:t>
      </w:r>
    </w:p>
    <w:p w:rsidR="00467684" w:rsidRPr="004C3694" w:rsidRDefault="00467684" w:rsidP="009F49F2">
      <w:r>
        <w:t>It is my opinion that the activities of animal extremists have now reached the point where all science-promoting organizations, as well as the government itself in each country, must take a strong stand in defense of research. A failure to do so could jeopardize basic research worldwide. Claims that basic science is useless or that such research has never contributed anything to medical progress would not be worth answering if they were not so easily believed by an uncritical public and were not such an easy way to attract donations. Animal experiments are irreplaceable if we want a healthy society, and animal experiments do have risks and certain discomfort, both of which must be objectively weighed against the benefits of research. What society can ignore human suffering to promote the welfare of mice? If the ultimate benefit of patients is not considered a greater good, then we should indeed stop science and research.</w:t>
      </w:r>
    </w:p>
    <w:p w:rsidR="00467684" w:rsidRDefault="00467684" w:rsidP="009F49F2">
      <w:pPr>
        <w:rPr>
          <w:szCs w:val="20"/>
        </w:rPr>
      </w:pPr>
    </w:p>
    <w:p w:rsidR="00467684" w:rsidRDefault="00467684" w:rsidP="002A7D79">
      <w:pPr>
        <w:pStyle w:val="Heading2"/>
      </w:pPr>
      <w:r>
        <w:t>References</w:t>
      </w:r>
    </w:p>
    <w:p w:rsidR="00467684" w:rsidRPr="008A6A23" w:rsidRDefault="00467684" w:rsidP="008A6A23">
      <w:pPr>
        <w:pStyle w:val="EndNoteBibliography"/>
        <w:spacing w:after="0"/>
        <w:ind w:left="720" w:hanging="720"/>
      </w:pPr>
      <w:r>
        <w:fldChar w:fldCharType="begin"/>
      </w:r>
      <w:r>
        <w:instrText xml:space="preserve"> ADDIN EN.REFLIST </w:instrText>
      </w:r>
      <w:r>
        <w:fldChar w:fldCharType="separate"/>
      </w:r>
      <w:bookmarkStart w:id="2" w:name="_ENREF_1"/>
      <w:r w:rsidRPr="008A6A23">
        <w:t>1</w:t>
      </w:r>
      <w:r w:rsidRPr="008A6A23">
        <w:tab/>
        <w:t xml:space="preserve">Logothetis, N. K. What we can do and what we cannot do with fMRI. </w:t>
      </w:r>
      <w:r w:rsidRPr="008A6A23">
        <w:rPr>
          <w:i/>
        </w:rPr>
        <w:t>Nature</w:t>
      </w:r>
      <w:r w:rsidRPr="008A6A23">
        <w:t xml:space="preserve"> </w:t>
      </w:r>
      <w:r w:rsidRPr="008A6A23">
        <w:rPr>
          <w:b/>
        </w:rPr>
        <w:t>453</w:t>
      </w:r>
      <w:r w:rsidRPr="008A6A23">
        <w:t>, 869-878, doi:10.1038/nature06976 (2008).</w:t>
      </w:r>
      <w:bookmarkEnd w:id="2"/>
    </w:p>
    <w:p w:rsidR="00467684" w:rsidRPr="008A6A23" w:rsidRDefault="00467684" w:rsidP="008A6A23">
      <w:pPr>
        <w:pStyle w:val="EndNoteBibliography"/>
        <w:spacing w:after="0"/>
        <w:ind w:left="720" w:hanging="720"/>
      </w:pPr>
      <w:bookmarkStart w:id="3" w:name="_ENREF_2"/>
      <w:r w:rsidRPr="008A6A23">
        <w:t>2</w:t>
      </w:r>
      <w:r w:rsidRPr="008A6A23">
        <w:tab/>
        <w:t xml:space="preserve">Logothetis, N. K., Pauls, J. M., Augath, M. A., Trinath, T. &amp; Oeltermann, A. Neurophysiological investigation of the basis of the fMRI signal. </w:t>
      </w:r>
      <w:r w:rsidRPr="008A6A23">
        <w:rPr>
          <w:i/>
        </w:rPr>
        <w:t>Nature</w:t>
      </w:r>
      <w:r w:rsidRPr="008A6A23">
        <w:t xml:space="preserve"> </w:t>
      </w:r>
      <w:r w:rsidRPr="008A6A23">
        <w:rPr>
          <w:b/>
        </w:rPr>
        <w:t>412</w:t>
      </w:r>
      <w:r w:rsidRPr="008A6A23">
        <w:t>, 150-157, doi:10.1038/35084005 (2001).</w:t>
      </w:r>
      <w:bookmarkEnd w:id="3"/>
    </w:p>
    <w:p w:rsidR="00467684" w:rsidRPr="008A6A23" w:rsidRDefault="00467684" w:rsidP="008A6A23">
      <w:pPr>
        <w:pStyle w:val="EndNoteBibliography"/>
        <w:spacing w:after="0"/>
        <w:ind w:left="720" w:hanging="720"/>
      </w:pPr>
      <w:bookmarkStart w:id="4" w:name="_ENREF_3"/>
      <w:r w:rsidRPr="008A6A23">
        <w:t>3</w:t>
      </w:r>
      <w:r w:rsidRPr="008A6A23">
        <w:tab/>
        <w:t>Logothetis, N. K.</w:t>
      </w:r>
      <w:r w:rsidRPr="008A6A23">
        <w:rPr>
          <w:i/>
        </w:rPr>
        <w:t xml:space="preserve"> et al.</w:t>
      </w:r>
      <w:r w:rsidRPr="008A6A23">
        <w:t xml:space="preserve"> Hippocampal-cortical interaction during periods of subcortical silence. </w:t>
      </w:r>
      <w:r w:rsidRPr="008A6A23">
        <w:rPr>
          <w:i/>
        </w:rPr>
        <w:t>Nature</w:t>
      </w:r>
      <w:r w:rsidRPr="008A6A23">
        <w:t xml:space="preserve"> </w:t>
      </w:r>
      <w:r w:rsidRPr="008A6A23">
        <w:rPr>
          <w:b/>
        </w:rPr>
        <w:t>491</w:t>
      </w:r>
      <w:r w:rsidRPr="008A6A23">
        <w:t>, 547-553, doi:Doi 10.1038/Nature11618 (2012).</w:t>
      </w:r>
      <w:bookmarkEnd w:id="4"/>
    </w:p>
    <w:p w:rsidR="00467684" w:rsidRPr="008A6A23" w:rsidRDefault="00467684" w:rsidP="008A6A23">
      <w:pPr>
        <w:pStyle w:val="EndNoteBibliography"/>
        <w:spacing w:after="0"/>
        <w:ind w:left="720" w:hanging="720"/>
      </w:pPr>
      <w:bookmarkStart w:id="5" w:name="_ENREF_4"/>
      <w:r w:rsidRPr="008A6A23">
        <w:t>4</w:t>
      </w:r>
      <w:r w:rsidRPr="008A6A23">
        <w:tab/>
        <w:t>Schroder, S.</w:t>
      </w:r>
      <w:r w:rsidRPr="008A6A23">
        <w:rPr>
          <w:i/>
        </w:rPr>
        <w:t xml:space="preserve"> et al.</w:t>
      </w:r>
      <w:r w:rsidRPr="008A6A23">
        <w:t xml:space="preserve"> Do neurologists in Germany adhere to the national Parkinson's disease guideline? </w:t>
      </w:r>
      <w:r w:rsidRPr="008A6A23">
        <w:rPr>
          <w:i/>
        </w:rPr>
        <w:t>Neuropsychiatric disease and treatment</w:t>
      </w:r>
      <w:r w:rsidRPr="008A6A23">
        <w:t xml:space="preserve"> </w:t>
      </w:r>
      <w:r w:rsidRPr="008A6A23">
        <w:rPr>
          <w:b/>
        </w:rPr>
        <w:t>7</w:t>
      </w:r>
      <w:r w:rsidRPr="008A6A23">
        <w:t>, 103-110, doi:10.2147/NDT.S8895 (2011).</w:t>
      </w:r>
      <w:bookmarkEnd w:id="5"/>
    </w:p>
    <w:p w:rsidR="00467684" w:rsidRPr="008A6A23" w:rsidRDefault="00467684" w:rsidP="008A6A23">
      <w:pPr>
        <w:pStyle w:val="EndNoteBibliography"/>
        <w:spacing w:after="0"/>
        <w:ind w:left="720" w:hanging="720"/>
      </w:pPr>
      <w:bookmarkStart w:id="6" w:name="_ENREF_5"/>
      <w:r w:rsidRPr="008A6A23">
        <w:t>5</w:t>
      </w:r>
      <w:r w:rsidRPr="008A6A23">
        <w:tab/>
        <w:t xml:space="preserve">Binder, D. K., Rau, G. &amp; Starr, P. A. Hemorrhagic complications of microelectrode-guided deep brain stimulation. </w:t>
      </w:r>
      <w:r w:rsidRPr="008A6A23">
        <w:rPr>
          <w:i/>
        </w:rPr>
        <w:t>Stereotact Funct Neurosurg</w:t>
      </w:r>
      <w:r w:rsidRPr="008A6A23">
        <w:t xml:space="preserve"> </w:t>
      </w:r>
      <w:r w:rsidRPr="008A6A23">
        <w:rPr>
          <w:b/>
        </w:rPr>
        <w:t>80</w:t>
      </w:r>
      <w:r w:rsidRPr="008A6A23">
        <w:t>, 28-31, doi:75156 (2003).</w:t>
      </w:r>
      <w:bookmarkEnd w:id="6"/>
    </w:p>
    <w:p w:rsidR="00467684" w:rsidRPr="008A6A23" w:rsidRDefault="00467684" w:rsidP="008A6A23">
      <w:pPr>
        <w:pStyle w:val="EndNoteBibliography"/>
        <w:spacing w:after="0"/>
        <w:ind w:left="720" w:hanging="720"/>
      </w:pPr>
      <w:bookmarkStart w:id="7" w:name="_ENREF_6"/>
      <w:r w:rsidRPr="008A6A23">
        <w:t>6</w:t>
      </w:r>
      <w:r w:rsidRPr="008A6A23">
        <w:tab/>
        <w:t xml:space="preserve">Lyons, K. E. &amp; Pahwa, R. Deep brain stimulation in Parkinson's disease. </w:t>
      </w:r>
      <w:r w:rsidRPr="008A6A23">
        <w:rPr>
          <w:i/>
        </w:rPr>
        <w:t>Curr Neurol Neurosci Rep</w:t>
      </w:r>
      <w:r w:rsidRPr="008A6A23">
        <w:t xml:space="preserve"> </w:t>
      </w:r>
      <w:r w:rsidRPr="008A6A23">
        <w:rPr>
          <w:b/>
        </w:rPr>
        <w:t>4</w:t>
      </w:r>
      <w:r w:rsidRPr="008A6A23">
        <w:t>, 290-295 (2004).</w:t>
      </w:r>
      <w:bookmarkEnd w:id="7"/>
    </w:p>
    <w:p w:rsidR="00467684" w:rsidRPr="008A6A23" w:rsidRDefault="00467684" w:rsidP="008A6A23">
      <w:pPr>
        <w:pStyle w:val="EndNoteBibliography"/>
        <w:spacing w:after="0"/>
        <w:ind w:left="720" w:hanging="720"/>
      </w:pPr>
      <w:bookmarkStart w:id="8" w:name="_ENREF_7"/>
      <w:r w:rsidRPr="008A6A23">
        <w:t>7</w:t>
      </w:r>
      <w:r w:rsidRPr="008A6A23">
        <w:tab/>
        <w:t xml:space="preserve">Logothetis, N. K., Guggenberger, H., Peled, S. &amp; Pauls, J. M. Functional imaging of the monkey brain. </w:t>
      </w:r>
      <w:r w:rsidRPr="008A6A23">
        <w:rPr>
          <w:i/>
        </w:rPr>
        <w:t>Nature Neuroscience</w:t>
      </w:r>
      <w:r w:rsidRPr="008A6A23">
        <w:t xml:space="preserve"> </w:t>
      </w:r>
      <w:r w:rsidRPr="008A6A23">
        <w:rPr>
          <w:b/>
        </w:rPr>
        <w:t>2</w:t>
      </w:r>
      <w:r w:rsidRPr="008A6A23">
        <w:t>, 555-562, doi:10.1038/9210 (1999).</w:t>
      </w:r>
      <w:bookmarkEnd w:id="8"/>
    </w:p>
    <w:p w:rsidR="00467684" w:rsidRPr="00BD4FBF" w:rsidRDefault="00467684" w:rsidP="008A6A23">
      <w:pPr>
        <w:pStyle w:val="EndNoteBibliography"/>
        <w:ind w:left="720" w:hanging="720"/>
        <w:rPr>
          <w:lang w:val="de-DE"/>
        </w:rPr>
      </w:pPr>
      <w:bookmarkStart w:id="9" w:name="_ENREF_8"/>
      <w:r w:rsidRPr="008A6A23">
        <w:t>8</w:t>
      </w:r>
      <w:r w:rsidRPr="008A6A23">
        <w:tab/>
        <w:t xml:space="preserve">Hao, X. Monkey research in China: developing a natural resource. </w:t>
      </w:r>
      <w:r w:rsidRPr="00BD4FBF">
        <w:rPr>
          <w:i/>
          <w:lang w:val="de-DE"/>
        </w:rPr>
        <w:t>Cell</w:t>
      </w:r>
      <w:r w:rsidRPr="00BD4FBF">
        <w:rPr>
          <w:lang w:val="de-DE"/>
        </w:rPr>
        <w:t xml:space="preserve"> </w:t>
      </w:r>
      <w:r w:rsidRPr="00BD4FBF">
        <w:rPr>
          <w:b/>
          <w:lang w:val="de-DE"/>
        </w:rPr>
        <w:t>129</w:t>
      </w:r>
      <w:r w:rsidRPr="00BD4FBF">
        <w:rPr>
          <w:lang w:val="de-DE"/>
        </w:rPr>
        <w:t>, 1033-1036 (2007).</w:t>
      </w:r>
      <w:bookmarkEnd w:id="9"/>
    </w:p>
    <w:p w:rsidR="00467684" w:rsidRPr="00BD4FBF" w:rsidRDefault="00467684" w:rsidP="00312B21">
      <w:pPr>
        <w:rPr>
          <w:lang w:val="de-DE"/>
        </w:rPr>
      </w:pPr>
      <w:r>
        <w:fldChar w:fldCharType="end"/>
      </w:r>
    </w:p>
    <w:p w:rsidR="00467684" w:rsidRPr="00BD4FBF" w:rsidRDefault="00467684" w:rsidP="00BD4FBF">
      <w:pPr>
        <w:rPr>
          <w:lang w:val="de-DE"/>
        </w:rPr>
      </w:pPr>
      <w:r w:rsidRPr="00BD4FBF">
        <w:rPr>
          <w:lang w:val="de-DE"/>
        </w:rPr>
        <w:br w:type="page"/>
      </w:r>
    </w:p>
    <w:p w:rsidR="00467684" w:rsidRPr="00BD4FBF" w:rsidRDefault="00467684" w:rsidP="00BD4FBF">
      <w:pPr>
        <w:pStyle w:val="Title"/>
        <w:rPr>
          <w:lang w:val="de-DE"/>
        </w:rPr>
      </w:pPr>
      <w:r w:rsidRPr="00BD4FBF">
        <w:rPr>
          <w:lang w:val="de-DE"/>
        </w:rPr>
        <w:t>MPI-Forschung: Behauptungen von BUAV und SOKO-Tierschutz und die Realität</w:t>
      </w:r>
    </w:p>
    <w:p w:rsidR="00467684" w:rsidRPr="00BD4FBF" w:rsidRDefault="00467684" w:rsidP="00BD4FBF">
      <w:pPr>
        <w:pStyle w:val="Subtitle"/>
        <w:rPr>
          <w:lang w:val="de-DE"/>
        </w:rPr>
      </w:pPr>
      <w:r w:rsidRPr="00BD4FBF">
        <w:rPr>
          <w:lang w:val="de-DE"/>
        </w:rPr>
        <w:t>Kommentar von Nikos K. Logothetis, Montag, 24. November 2014</w:t>
      </w:r>
    </w:p>
    <w:p w:rsidR="00467684" w:rsidRPr="00BD4FBF" w:rsidRDefault="00467684" w:rsidP="00BD4FBF">
      <w:pPr>
        <w:rPr>
          <w:lang w:val="de-DE"/>
        </w:rPr>
      </w:pPr>
      <w:r w:rsidRPr="00BD4FBF">
        <w:rPr>
          <w:lang w:val="de-DE"/>
        </w:rPr>
        <w:t xml:space="preserve">Die physiologische Abteilung des Max-Planck-Instituts für biologische Kybernetik (MPIbK) forscht mit dem Ziel, die Konnektivität und die operationalen Prinzipien der neuronalen Netzwerke zu verstehen, die unseren kognitiven Fähigkeiten zugrunde liegen. Wir verstehen das Gehirn als ein hervorragendes Beispiel eines sogenannten dynamischen „komplexen Systems“, bei dem das Verhalten des Ganzen sich nicht aus den einzelnen Komponenten vorhersagen lässt. Komplexe Systeme – typischerweise charakterisiert durch dezentrale Kontrolle und Selbstorganisation – sind in der Natur allgegenwärtig. Zu solchen Systemen gehören nichtadaptive Wetter- und Klimamodelle ebenso wie hochadaptive Strukturen wie die Wirtschaft, Genome oder Nervensysteme. Simultane Messungen der Aktivität auf unterschiedlichen Raum-Zeit-Skalen sind überaus nützlich, um das Verhalten solcher Systeme zu verstehen. In den letzten beiden Jahrzehnten arbeitete unser Institut an der Entwicklung und Weiterentwicklung einer international hoch angesehenen Methodik, die genau das ermöglicht, nämlich lokale neuronale Aktivität aus dem Schädel von Tieren aufzuzeichnen und dabei gleichzeitig das gesamte Gehirn des Tiers  mit funktioneller Magnetresonanztomografie (fMRT) zu erfassen. </w:t>
      </w:r>
    </w:p>
    <w:p w:rsidR="00467684" w:rsidRPr="00BD4FBF" w:rsidRDefault="00467684" w:rsidP="00BD4FBF">
      <w:pPr>
        <w:rPr>
          <w:lang w:val="de-DE"/>
        </w:rPr>
      </w:pPr>
      <w:r w:rsidRPr="00BD4FBF">
        <w:rPr>
          <w:lang w:val="de-DE"/>
        </w:rPr>
        <w:t>Die Anwendung dieser Methode hat zu bedeutenden Fortschritten geführt, unter anderem zu einem besseren Verständnis der funktionellen Kernspintomografie (fMRT)  selbst</w:t>
      </w:r>
      <w:r w:rsidRPr="00BD4FBF">
        <w:rPr>
          <w:lang w:val="de-DE"/>
        </w:rPr>
        <w:fldChar w:fldCharType="begin">
          <w:fldData xml:space="preserve">PEVuZE5vdGU+PENpdGU+PEF1dGhvcj5Mb2dvdGhldGlzPC9BdXRob3I+PFllYXI+MjAwODwvWWVh
cj48UmVjTnVtPjQ5NjAxPC9SZWNOdW0+PERpc3BsYXlUZXh0PjxzdHlsZSBmYWNlPSJzdXBlcnNj
cmlwdCI+MSwyPC9zdHlsZT48L0Rpc3BsYXlUZXh0PjxyZWNvcmQ+PHJlYy1udW1iZXI+NDk2MDE8
L3JlYy1udW1iZXI+PGZvcmVpZ24ta2V5cz48a2V5IGFwcD0iRU4iIGRiLWlkPSJ6c3NydDA1ZWE1
YTl2dmV3MHpxcHhzc2Nkc3AyeDU1eHd0OTkiPjQ5NjAxPC9rZXk+PC9mb3JlaWduLWtleXM+PHJl
Zi10eXBlIG5hbWU9IkpvdXJuYWwgQXJ0aWNsZSI+MTc8L3JlZi10eXBlPjxjb250cmlidXRvcnM+
PGF1dGhvcnM+PGF1dGhvcj5Mb2dvdGhldGlzLCBOLiBLLjwvYXV0aG9yPjwvYXV0aG9ycz48L2Nv
bnRyaWJ1dG9ycz48dGl0bGVzPjx0aXRsZT5XaGF0IHdlIGNhbiBkbyBhbmQgd2hhdCB3ZSBjYW5u
b3QgZG8gd2l0aCBmTVJJPC90aXRsZT48c2Vjb25kYXJ5LXRpdGxlPk5hdHVyZTwvc2Vjb25kYXJ5
LXRpdGxlPjxhbHQtdGl0bGU+TmF0dXJlPC9hbHQtdGl0bGU+PC90aXRsZXM+PHBlcmlvZGljYWw+
PGZ1bGwtdGl0bGU+TmF0dXJlPC9mdWxsLXRpdGxlPjwvcGVyaW9kaWNhbD48YWx0LXBlcmlvZGlj
YWw+PGZ1bGwtdGl0bGU+TmF0dXJlPC9mdWxsLXRpdGxlPjwvYWx0LXBlcmlvZGljYWw+PHBhZ2Vz
Pjg2OS04Nzg8L3BhZ2VzPjx2b2x1bWU+NDUzPC92b2x1bWU+PG51bWJlcj43MTk3PC9udW1iZXI+
PHNlY3Rpb24+ODY5PC9zZWN0aW9uPjxkYXRlcz48eWVhcj4yMDA4PC95ZWFyPjxwdWItZGF0ZXM+
PGRhdGU+SnVuIDEyLCAyMDA4PC9kYXRlPjwvcHViLWRhdGVzPjwvZGF0ZXM+PGlzYm4+MDAyOC0w
ODM2PC9pc2JuPjx3b3JrLXR5cGU+UmV2aWV3PC93b3JrLXR5cGU+PHVybHM+PHJlbGF0ZWQtdXJs
cz48dXJsPiZsdDtHbyB0byBJU0kmZ3Q7Oi8vMDAwMjU2NjMyMDAwMDMzPC91cmw+PC9yZWxhdGVk
LXVybHM+PHBkZi11cmxzPjx1cmw+ZmlsZTovL0Y6XFNoYXJlZFxOS0xcUHVibGljYXRpb25zXExv
Z290aGV0aXNfTmF0dXJlXzIwMDgucGRmPC91cmw+PC9wZGYtdXJscz48L3VybHM+PGVsZWN0cm9u
aWMtcmVzb3VyY2UtbnVtPjEwLjEwMzgvbmF0dXJlMDY5NzY8L2VsZWN0cm9uaWMtcmVzb3VyY2Ut
bnVtPjwvcmVjb3JkPjwvQ2l0ZT48Q2l0ZT48QXV0aG9yPkxvZ290aGV0aXM8L0F1dGhvcj48WWVh
cj4yMDAxPC9ZZWFyPjxSZWNOdW0+NDkyMjY8L1JlY051bT48cmVjb3JkPjxyZWMtbnVtYmVyPjQ5
MjI2PC9yZWMtbnVtYmVyPjxmb3JlaWduLWtleXM+PGtleSBhcHA9IkVOIiBkYi1pZD0ienNzcnQw
NWVhNWE5dnZldzB6cXB4c3NjZHNwMng1NXh3dDk5Ij40OTIyNjwva2V5PjwvZm9yZWlnbi1rZXlz
PjxyZWYtdHlwZSBuYW1lPSJKb3VybmFsIEFydGljbGUiPjE3PC9yZWYtdHlwZT48Y29udHJpYnV0
b3JzPjxhdXRob3JzPjxhdXRob3I+TG9nb3RoZXRpcywgTi4gSy48L2F1dGhvcj48YXV0aG9yPlBh
dWxzLCBKLiBNLjwvYXV0aG9yPjxhdXRob3I+QXVnYXRoLCBNLiBBLjwvYXV0aG9yPjxhdXRob3I+
VHJpbmF0aCwgVC48L2F1dGhvcj48YXV0aG9yPk9lbHRlcm1hbm4sIEEuPC9hdXRob3I+PC9hdXRo
b3JzPjwvY29udHJpYnV0b3JzPjx0aXRsZXM+PHRpdGxlPk5ldXJvcGh5c2lvbG9naWNhbCBpbnZl
c3RpZ2F0aW9uIG9mIHRoZSBiYXNpcyBvZiB0aGUgZk1SSSBzaWduYWw8L3RpdGxlPjxzZWNvbmRh
cnktdGl0bGU+TmF0dXJlPC9zZWNvbmRhcnktdGl0bGU+PGFsdC10aXRsZT5OYXR1cmU8L2FsdC10
aXRsZT48L3RpdGxlcz48cGVyaW9kaWNhbD48ZnVsbC10aXRsZT5OYXR1cmU8L2Z1bGwtdGl0bGU+
PC9wZXJpb2RpY2FsPjxhbHQtcGVyaW9kaWNhbD48ZnVsbC10aXRsZT5OYXR1cmU8L2Z1bGwtdGl0
bGU+PC9hbHQtcGVyaW9kaWNhbD48cGFnZXM+MTUwLTE1NzwvcGFnZXM+PHZvbHVtZT40MTI8L3Zv
bHVtZT48bnVtYmVyPjY4NDM8L251bWJlcj48c2VjdGlvbj4xNTA8L3NlY3Rpb24+PGRhdGVzPjx5
ZWFyPjIwMDE8L3llYXI+PHB1Yi1kYXRlcz48ZGF0ZT5KdWwgMTIsIDIwMDE8L2RhdGU+PC9wdWIt
ZGF0ZXM+PC9kYXRlcz48aXNibj4wMDI4LTA4MzY8L2lzYm4+PHdvcmstdHlwZT5BcnRpY2xlPC93
b3JrLXR5cGU+PHVybHM+PHJlbGF0ZWQtdXJscz48dXJsPiZsdDtHbyB0byBJU0kmZ3Q7Oi8vMDAw
MTY5Nzc4NzAwMDQyPC91cmw+PC9yZWxhdGVkLXVybHM+PHBkZi11cmxzPjx1cmw+ZmlsZTovL0Y6
XFNoYXJlZFxOS0xcUHVibGljYXRpb25zXExvZ290aGV0aXMgUGF1bHMgQXVnYXRoIGV0IGFsX05h
dHVyZV8yMDAxLnBkZjwvdXJsPjwvcGRmLXVybHM+PC91cmxzPjxlbGVjdHJvbmljLXJlc291cmNl
LW51bT4xMC4xMDM4LzM1MDg0MDA1PC9lbGVjdHJvbmljLXJlc291cmNlLW51bT48L3JlY29yZD48
L0NpdGU+PC9FbmROb3RlPgBuAFwAXAAA
</w:fldData>
        </w:fldChar>
      </w:r>
      <w:r w:rsidRPr="00BD4FBF">
        <w:rPr>
          <w:lang w:val="de-DE"/>
        </w:rPr>
        <w:instrText xml:space="preserve"> ADDIN EN.CITE </w:instrText>
      </w:r>
      <w:r w:rsidRPr="00BD4FBF">
        <w:rPr>
          <w:lang w:val="de-DE"/>
        </w:rPr>
        <w:fldChar w:fldCharType="begin">
          <w:fldData xml:space="preserve">PEVuZE5vdGU+PENpdGU+PEF1dGhvcj5Mb2dvdGhldGlzPC9BdXRob3I+PFllYXI+MjAwODwvWWVh
cj48UmVjTnVtPjQ5NjAxPC9SZWNOdW0+PERpc3BsYXlUZXh0PjxzdHlsZSBmYWNlPSJzdXBlcnNj
cmlwdCI+MSwyPC9zdHlsZT48L0Rpc3BsYXlUZXh0PjxyZWNvcmQ+PHJlYy1udW1iZXI+NDk2MDE8
L3JlYy1udW1iZXI+PGZvcmVpZ24ta2V5cz48a2V5IGFwcD0iRU4iIGRiLWlkPSJ6c3NydDA1ZWE1
YTl2dmV3MHpxcHhzc2Nkc3AyeDU1eHd0OTkiPjQ5NjAxPC9rZXk+PC9mb3JlaWduLWtleXM+PHJl
Zi10eXBlIG5hbWU9IkpvdXJuYWwgQXJ0aWNsZSI+MTc8L3JlZi10eXBlPjxjb250cmlidXRvcnM+
PGF1dGhvcnM+PGF1dGhvcj5Mb2dvdGhldGlzLCBOLiBLLjwvYXV0aG9yPjwvYXV0aG9ycz48L2Nv
bnRyaWJ1dG9ycz48dGl0bGVzPjx0aXRsZT5XaGF0IHdlIGNhbiBkbyBhbmQgd2hhdCB3ZSBjYW5u
b3QgZG8gd2l0aCBmTVJJPC90aXRsZT48c2Vjb25kYXJ5LXRpdGxlPk5hdHVyZTwvc2Vjb25kYXJ5
LXRpdGxlPjxhbHQtdGl0bGU+TmF0dXJlPC9hbHQtdGl0bGU+PC90aXRsZXM+PHBlcmlvZGljYWw+
PGZ1bGwtdGl0bGU+TmF0dXJlPC9mdWxsLXRpdGxlPjwvcGVyaW9kaWNhbD48YWx0LXBlcmlvZGlj
YWw+PGZ1bGwtdGl0bGU+TmF0dXJlPC9mdWxsLXRpdGxlPjwvYWx0LXBlcmlvZGljYWw+PHBhZ2Vz
Pjg2OS04Nzg8L3BhZ2VzPjx2b2x1bWU+NDUzPC92b2x1bWU+PG51bWJlcj43MTk3PC9udW1iZXI+
PHNlY3Rpb24+ODY5PC9zZWN0aW9uPjxkYXRlcz48eWVhcj4yMDA4PC95ZWFyPjxwdWItZGF0ZXM+
PGRhdGU+SnVuIDEyLCAyMDA4PC9kYXRlPjwvcHViLWRhdGVzPjwvZGF0ZXM+PGlzYm4+MDAyOC0w
ODM2PC9pc2JuPjx3b3JrLXR5cGU+UmV2aWV3PC93b3JrLXR5cGU+PHVybHM+PHJlbGF0ZWQtdXJs
cz48dXJsPiZsdDtHbyB0byBJU0kmZ3Q7Oi8vMDAwMjU2NjMyMDAwMDMzPC91cmw+PC9yZWxhdGVk
LXVybHM+PHBkZi11cmxzPjx1cmw+ZmlsZTovL0Y6XFNoYXJlZFxOS0xcUHVibGljYXRpb25zXExv
Z290aGV0aXNfTmF0dXJlXzIwMDgucGRmPC91cmw+PC9wZGYtdXJscz48L3VybHM+PGVsZWN0cm9u
aWMtcmVzb3VyY2UtbnVtPjEwLjEwMzgvbmF0dXJlMDY5NzY8L2VsZWN0cm9uaWMtcmVzb3VyY2Ut
bnVtPjwvcmVjb3JkPjwvQ2l0ZT48Q2l0ZT48QXV0aG9yPkxvZ290aGV0aXM8L0F1dGhvcj48WWVh
cj4yMDAxPC9ZZWFyPjxSZWNOdW0+NDkyMjY8L1JlY051bT48cmVjb3JkPjxyZWMtbnVtYmVyPjQ5
MjI2PC9yZWMtbnVtYmVyPjxmb3JlaWduLWtleXM+PGtleSBhcHA9IkVOIiBkYi1pZD0ienNzcnQw
NWVhNWE5dnZldzB6cXB4c3NjZHNwMng1NXh3dDk5Ij40OTIyNjwva2V5PjwvZm9yZWlnbi1rZXlz
PjxyZWYtdHlwZSBuYW1lPSJKb3VybmFsIEFydGljbGUiPjE3PC9yZWYtdHlwZT48Y29udHJpYnV0
b3JzPjxhdXRob3JzPjxhdXRob3I+TG9nb3RoZXRpcywgTi4gSy48L2F1dGhvcj48YXV0aG9yPlBh
dWxzLCBKLiBNLjwvYXV0aG9yPjxhdXRob3I+QXVnYXRoLCBNLiBBLjwvYXV0aG9yPjxhdXRob3I+
VHJpbmF0aCwgVC48L2F1dGhvcj48YXV0aG9yPk9lbHRlcm1hbm4sIEEuPC9hdXRob3I+PC9hdXRo
b3JzPjwvY29udHJpYnV0b3JzPjx0aXRsZXM+PHRpdGxlPk5ldXJvcGh5c2lvbG9naWNhbCBpbnZl
c3RpZ2F0aW9uIG9mIHRoZSBiYXNpcyBvZiB0aGUgZk1SSSBzaWduYWw8L3RpdGxlPjxzZWNvbmRh
cnktdGl0bGU+TmF0dXJlPC9zZWNvbmRhcnktdGl0bGU+PGFsdC10aXRsZT5OYXR1cmU8L2FsdC10
aXRsZT48L3RpdGxlcz48cGVyaW9kaWNhbD48ZnVsbC10aXRsZT5OYXR1cmU8L2Z1bGwtdGl0bGU+
PC9wZXJpb2RpY2FsPjxhbHQtcGVyaW9kaWNhbD48ZnVsbC10aXRsZT5OYXR1cmU8L2Z1bGwtdGl0
bGU+PC9hbHQtcGVyaW9kaWNhbD48cGFnZXM+MTUwLTE1NzwvcGFnZXM+PHZvbHVtZT40MTI8L3Zv
bHVtZT48bnVtYmVyPjY4NDM8L251bWJlcj48c2VjdGlvbj4xNTA8L3NlY3Rpb24+PGRhdGVzPjx5
ZWFyPjIwMDE8L3llYXI+PHB1Yi1kYXRlcz48ZGF0ZT5KdWwgMTIsIDIwMDE8L2RhdGU+PC9wdWIt
ZGF0ZXM+PC9kYXRlcz48aXNibj4wMDI4LTA4MzY8L2lzYm4+PHdvcmstdHlwZT5BcnRpY2xlPC93
b3JrLXR5cGU+PHVybHM+PHJlbGF0ZWQtdXJscz48dXJsPiZsdDtHbyB0byBJU0kmZ3Q7Oi8vMDAw
MTY5Nzc4NzAwMDQyPC91cmw+PC9yZWxhdGVkLXVybHM+PHBkZi11cmxzPjx1cmw+ZmlsZTovL0Y6
XFNoYXJlZFxOS0xcUHVibGljYXRpb25zXExvZ290aGV0aXMgUGF1bHMgQXVnYXRoIGV0IGFsX05h
dHVyZV8yMDAxLnBkZjwvdXJsPjwvcGRmLXVybHM+PC91cmxzPjxlbGVjdHJvbmljLXJlc291cmNl
LW51bT4xMC4xMDM4LzM1MDg0MDA1PC9lbGVjdHJvbmljLXJlc291cmNlLW51bT48L3JlY29yZD48
L0NpdGU+PC9FbmROb3RlPgBsAGUKcAAA
</w:fldData>
        </w:fldChar>
      </w:r>
      <w:r w:rsidRPr="00BD4FBF">
        <w:rPr>
          <w:lang w:val="de-DE"/>
        </w:rPr>
        <w:instrText xml:space="preserve"> ADDIN EN.CITE.DATA </w:instrText>
      </w:r>
      <w:r w:rsidRPr="00BD4FBF">
        <w:rPr>
          <w:lang w:val="de-DE"/>
        </w:rPr>
      </w:r>
      <w:r w:rsidRPr="00BD4FBF">
        <w:rPr>
          <w:lang w:val="de-DE"/>
        </w:rPr>
        <w:fldChar w:fldCharType="end"/>
      </w:r>
      <w:r w:rsidRPr="00BD4FBF">
        <w:rPr>
          <w:lang w:val="de-DE"/>
        </w:rPr>
      </w:r>
      <w:r w:rsidRPr="00BD4FBF">
        <w:rPr>
          <w:lang w:val="de-DE"/>
        </w:rPr>
        <w:fldChar w:fldCharType="separate"/>
      </w:r>
      <w:hyperlink w:anchor="_ENREF_1" w:tooltip="Logothetis, 2008 #49601" w:history="1">
        <w:r w:rsidRPr="00BD4FBF">
          <w:rPr>
            <w:noProof/>
            <w:vertAlign w:val="superscript"/>
            <w:lang w:val="de-DE"/>
          </w:rPr>
          <w:t>1</w:t>
        </w:r>
      </w:hyperlink>
      <w:r w:rsidRPr="00BD4FBF">
        <w:rPr>
          <w:noProof/>
          <w:vertAlign w:val="superscript"/>
          <w:lang w:val="de-DE"/>
        </w:rPr>
        <w:t>,</w:t>
      </w:r>
      <w:hyperlink w:anchor="_ENREF_2" w:tooltip="Logothetis, 2001 #49226" w:history="1">
        <w:r w:rsidRPr="00BD4FBF">
          <w:rPr>
            <w:noProof/>
            <w:vertAlign w:val="superscript"/>
            <w:lang w:val="de-DE"/>
          </w:rPr>
          <w:t>2</w:t>
        </w:r>
      </w:hyperlink>
      <w:r w:rsidRPr="00BD4FBF">
        <w:rPr>
          <w:lang w:val="de-DE"/>
        </w:rPr>
        <w:fldChar w:fldCharType="end"/>
      </w:r>
      <w:r w:rsidRPr="00BD4FBF">
        <w:rPr>
          <w:lang w:val="de-DE"/>
        </w:rPr>
        <w:t>. Nichtinvasive Bildgebungsverfahren wie die fMRT und die Positronen-Emissions-Tomografie (PET) können immer nur Surrogate der neuronalen Funktion messen, z. B. metabolische Veränderungen in Geweben. Daher ist es von entscheidender Bedeutung, dass wir die neuronalen Prozesse verstehen, die hinter solchen metabolischen Veränderungen stecken. Nur so können wir funktionelle Scans, mit denen der Zustand von Patienten mit verschiedenen neurologischen oder psychiatrischen Erkrankungen bestimmt werden soll, korrekt interpretieren.</w:t>
      </w:r>
    </w:p>
    <w:p w:rsidR="00467684" w:rsidRPr="00BD4FBF" w:rsidRDefault="00467684" w:rsidP="00BD4FBF">
      <w:pPr>
        <w:rPr>
          <w:lang w:val="de-DE"/>
        </w:rPr>
      </w:pPr>
      <w:r w:rsidRPr="00BD4FBF">
        <w:rPr>
          <w:lang w:val="de-DE"/>
        </w:rPr>
        <w:t xml:space="preserve">Das Hauptinteresse unseres Labors liegt in der </w:t>
      </w:r>
      <w:r w:rsidRPr="00BD4FBF">
        <w:rPr>
          <w:b/>
          <w:i/>
          <w:lang w:val="de-DE"/>
        </w:rPr>
        <w:t>neurowissenschaftlichen Grundlagenforschung</w:t>
      </w:r>
      <w:r w:rsidRPr="00BD4FBF">
        <w:rPr>
          <w:lang w:val="de-DE"/>
        </w:rPr>
        <w:t xml:space="preserve">, bei der zunächst einmal nicht unmittelbar an praktische Zwecke gedacht wird. Wir hoffen die eigentlichen, die wirklich </w:t>
      </w:r>
      <w:r w:rsidRPr="00BD4FBF">
        <w:rPr>
          <w:b/>
          <w:i/>
          <w:lang w:val="de-DE"/>
        </w:rPr>
        <w:t>grundlegenden neuronalen Prinzipien</w:t>
      </w:r>
      <w:r w:rsidRPr="00BD4FBF">
        <w:rPr>
          <w:lang w:val="de-DE"/>
        </w:rPr>
        <w:t xml:space="preserve"> zu entdecken, die solchen Fähigkeiten wie Wahrnehmung, Erkennung, Lernen und Erinnerung zugrunde liegen. Nur wenn man solche Prinzipien versteht, können verheerende Erkrankungen erfolgreich bekämpft und der invasive Charakter vieler klinischer Verfahren, die heute für deren Diagnose und Behandlung eingesetzt werden, reduziert werden. Multimodale Messungen machen es insbesondere möglich, kooperative Aktivitätsmuster einer großen Zahl von Hirnregionen, welche mit lokalen physiologischen Ereignissen in unterschiedlichen Hirnregionen korrelieren, zu kartieren. So publizierten wir beispielsweise die erste Beschreibung einer multistrukturellen Aktivität (MSA) mit Bezug zu bestimmten Ereignissen im Hippocampus, die, so nimmt man an, dem Prozess der Gedächtniskonsolidierung bei Mensch und Tier zugrunde liegen</w:t>
      </w:r>
      <w:hyperlink w:anchor="_ENREF_3" w:tooltip="Logothetis, 2012 #50587" w:history="1">
        <w:r w:rsidRPr="00BD4FBF">
          <w:rPr>
            <w:lang w:val="de-DE"/>
          </w:rPr>
          <w:fldChar w:fldCharType="begin">
            <w:fldData xml:space="preserve">PEVuZE5vdGU+PENpdGU+PEF1dGhvcj5Mb2dvdGhldGlzPC9BdXRob3I+PFllYXI+MjAxMjwvWWVh
cj48UmVjTnVtPjUwNTg3PC9SZWNOdW0+PERpc3BsYXlUZXh0PjxzdHlsZSBmYWNlPSJzdXBlcnNj
cmlwdCI+Mzwvc3R5bGU+PC9EaXNwbGF5VGV4dD48cmVjb3JkPjxyZWMtbnVtYmVyPjUwNTg3PC9y
ZWMtbnVtYmVyPjxmb3JlaWduLWtleXM+PGtleSBhcHA9IkVOIiBkYi1pZD0ienNzcnQwNWVhNWE5
dnZldzB6cXB4c3NjZHNwMng1NXh3dDk5Ij41MDU4Nzwva2V5PjwvZm9yZWlnbi1rZXlzPjxyZWYt
dHlwZSBuYW1lPSJKb3VybmFsIEFydGljbGUiPjE3PC9yZWYtdHlwZT48Y29udHJpYnV0b3JzPjxh
dXRob3JzPjxhdXRob3I+TG9nb3RoZXRpcywgTi4gSy48L2F1dGhvcj48YXV0aG9yPkVzY2hlbmtv
LCBPLjwvYXV0aG9yPjxhdXRob3I+TXVyYXlhbWEsIFkuPC9hdXRob3I+PGF1dGhvcj5BdWdhdGgs
IE0uPC9hdXRob3I+PGF1dGhvcj5TdGV1ZGVsLCBULjwvYXV0aG9yPjxhdXRob3I+RXZyYXJkLCBI
LiBDLjwvYXV0aG9yPjxhdXRob3I+QmVzc2VydmUsIE0uPC9hdXRob3I+PGF1dGhvcj5PZWx0ZXJt
YW5uLCBBLjwvYXV0aG9yPjwvYXV0aG9ycz48L2NvbnRyaWJ1dG9ycz48YXV0aC1hZGRyZXNzPkxv
Z290aGV0aXMsIE5LJiN4RDtNYXggUGxhbmNrIEluc3QgQmlvbCBDeWJlcm5ldCwgU3BlbWFubnN0
ciAzOCwgRC03MjA3NiBUdWJpbmdlbiwgR2VybWFueSYjeEQ7TWF4IFBsYW5jayBJbnN0IEJpb2wg
Q3liZXJuZXQsIFNwZW1hbm5zdHIgMzgsIEQtNzIwNzYgVHViaW5nZW4sIEdlcm1hbnkmI3hEO01h
eCBQbGFuY2sgSW5zdCBCaW9sIEN5YmVybmV0LCBELTcyMDc2IFR1YmluZ2VuLCBHZXJtYW55JiN4
RDtVbml2IE1hbmNoZXN0ZXIsIEJpb21lZCBJbWFnaW5nIEluc3QsIEN0ciBJbWFnaW5nIFNjaSwg
TWFuY2hlc3RlciBNMTMgOVBULCBMYW5jcywgRW5nbGFuZCYjeEQ7TWF4IFBsYW5jayBJbnN0IElu
dGVsbGlnZW50IFN5c3QsIEQtNzIwNzYgVHViaW5nZW4sIEdlcm1hbnk8L2F1dGgtYWRkcmVzcz48
dGl0bGVzPjx0aXRsZT5IaXBwb2NhbXBhbC1jb3J0aWNhbCBpbnRlcmFjdGlvbiBkdXJpbmcgcGVy
aW9kcyBvZiBzdWJjb3J0aWNhbCBzaWxlbmNlPC90aXRsZT48c2Vjb25kYXJ5LXRpdGxlPk5hdHVy
ZTwvc2Vjb25kYXJ5LXRpdGxlPjxhbHQtdGl0bGU+TmF0dXJlPC9hbHQtdGl0bGU+PC90aXRsZXM+
PHBlcmlvZGljYWw+PGZ1bGwtdGl0bGU+TmF0dXJlPC9mdWxsLXRpdGxlPjwvcGVyaW9kaWNhbD48
YWx0LXBlcmlvZGljYWw+PGZ1bGwtdGl0bGU+TmF0dXJlPC9mdWxsLXRpdGxlPjwvYWx0LXBlcmlv
ZGljYWw+PHBhZ2VzPjU0Ny01NTM8L3BhZ2VzPjx2b2x1bWU+NDkxPC92b2x1bWU+PG51bWJlcj43
NDI1PC9udW1iZXI+PGtleXdvcmRzPjxrZXl3b3JkPnNsb3ctd2F2ZSBzbGVlcDwva2V5d29yZD48
a2V5d29yZD50cmFpbmluZyByZXZlcnNpYmxlIGluYWN0aXZhdGlvbjwva2V5d29yZD48a2V5d29y
ZD5tZW1vcnktc3lzdGVtczwva2V5d29yZD48a2V5d29yZD5kZWNsYXJhdGl2ZSBtZW1vcnk8L2tl
eXdvcmQ+PGtleXdvcmQ+c2hhcnAgd2F2ZXM8L2tleXdvcmQ+PGtleXdvcmQ+cmlwcGxlczwva2V5
d29yZD48a2V5d29yZD5vc2NpbGxhdGlvbjwva2V5d29yZD48a2V5d29yZD5jb25zb2xpZGF0aW9u
PC9rZXl3b3JkPjxrZXl3b3JkPnJlYWN0aXZhdGlvbjwva2V5d29yZD48a2V5d29yZD5zdGF0ZTwv
a2V5d29yZD48L2tleXdvcmRzPjxkYXRlcz48eWVhcj4yMDEyPC95ZWFyPjxwdWItZGF0ZXM+PGRh
dGU+Tm92IDIyPC9kYXRlPjwvcHViLWRhdGVzPjwvZGF0ZXM+PGlzYm4+MDAyOC0wODM2PC9pc2Ju
PjxhY2Nlc3Npb24tbnVtPklTSTowMDAzMTEzMzk4MDAwNDI8L2FjY2Vzc2lvbi1udW0+PHVybHM+
PHJlbGF0ZWQtdXJscz48dXJsPiZsdDtHbyB0byBJU0kmZ3Q7Oi8vMDAwMzExMzM5ODAwMDQyPC91
cmw+PC9yZWxhdGVkLXVybHM+PC91cmxzPjxlbGVjdHJvbmljLXJlc291cmNlLW51bT5Eb2kgMTAu
MTAzOC9OYXR1cmUxMTYxODwvZWxlY3Ryb25pYy1yZXNvdXJjZS1udW0+PGxhbmd1YWdlPkVuZ2xp
c2g8L2xhbmd1YWdlPjwvcmVjb3JkPjwvQ2l0ZT48L0VuZE5vdGU+AAAAAAAAAAAA
</w:fldData>
          </w:fldChar>
        </w:r>
        <w:r w:rsidRPr="00BD4FBF">
          <w:rPr>
            <w:lang w:val="de-DE"/>
          </w:rPr>
          <w:instrText xml:space="preserve"> ADDIN EN.CITE </w:instrText>
        </w:r>
        <w:r w:rsidRPr="00BD4FBF">
          <w:rPr>
            <w:lang w:val="de-DE"/>
          </w:rPr>
          <w:fldChar w:fldCharType="begin">
            <w:fldData xml:space="preserve">PEVuZE5vdGU+PENpdGU+PEF1dGhvcj5Mb2dvdGhldGlzPC9BdXRob3I+PFllYXI+MjAxMjwvWWVh
cj48UmVjTnVtPjUwNTg3PC9SZWNOdW0+PERpc3BsYXlUZXh0PjxzdHlsZSBmYWNlPSJzdXBlcnNj
cmlwdCI+Mzwvc3R5bGU+PC9EaXNwbGF5VGV4dD48cmVjb3JkPjxyZWMtbnVtYmVyPjUwNTg3PC9y
ZWMtbnVtYmVyPjxmb3JlaWduLWtleXM+PGtleSBhcHA9IkVOIiBkYi1pZD0ienNzcnQwNWVhNWE5
dnZldzB6cXB4c3NjZHNwMng1NXh3dDk5Ij41MDU4Nzwva2V5PjwvZm9yZWlnbi1rZXlzPjxyZWYt
dHlwZSBuYW1lPSJKb3VybmFsIEFydGljbGUiPjE3PC9yZWYtdHlwZT48Y29udHJpYnV0b3JzPjxh
dXRob3JzPjxhdXRob3I+TG9nb3RoZXRpcywgTi4gSy48L2F1dGhvcj48YXV0aG9yPkVzY2hlbmtv
LCBPLjwvYXV0aG9yPjxhdXRob3I+TXVyYXlhbWEsIFkuPC9hdXRob3I+PGF1dGhvcj5BdWdhdGgs
IE0uPC9hdXRob3I+PGF1dGhvcj5TdGV1ZGVsLCBULjwvYXV0aG9yPjxhdXRob3I+RXZyYXJkLCBI
LiBDLjwvYXV0aG9yPjxhdXRob3I+QmVzc2VydmUsIE0uPC9hdXRob3I+PGF1dGhvcj5PZWx0ZXJt
YW5uLCBBLjwvYXV0aG9yPjwvYXV0aG9ycz48L2NvbnRyaWJ1dG9ycz48YXV0aC1hZGRyZXNzPkxv
Z290aGV0aXMsIE5LJiN4RDtNYXggUGxhbmNrIEluc3QgQmlvbCBDeWJlcm5ldCwgU3BlbWFubnN0
ciAzOCwgRC03MjA3NiBUdWJpbmdlbiwgR2VybWFueSYjeEQ7TWF4IFBsYW5jayBJbnN0IEJpb2wg
Q3liZXJuZXQsIFNwZW1hbm5zdHIgMzgsIEQtNzIwNzYgVHViaW5nZW4sIEdlcm1hbnkmI3hEO01h
eCBQbGFuY2sgSW5zdCBCaW9sIEN5YmVybmV0LCBELTcyMDc2IFR1YmluZ2VuLCBHZXJtYW55JiN4
RDtVbml2IE1hbmNoZXN0ZXIsIEJpb21lZCBJbWFnaW5nIEluc3QsIEN0ciBJbWFnaW5nIFNjaSwg
TWFuY2hlc3RlciBNMTMgOVBULCBMYW5jcywgRW5nbGFuZCYjeEQ7TWF4IFBsYW5jayBJbnN0IElu
dGVsbGlnZW50IFN5c3QsIEQtNzIwNzYgVHViaW5nZW4sIEdlcm1hbnk8L2F1dGgtYWRkcmVzcz48
dGl0bGVzPjx0aXRsZT5IaXBwb2NhbXBhbC1jb3J0aWNhbCBpbnRlcmFjdGlvbiBkdXJpbmcgcGVy
aW9kcyBvZiBzdWJjb3J0aWNhbCBzaWxlbmNlPC90aXRsZT48c2Vjb25kYXJ5LXRpdGxlPk5hdHVy
ZTwvc2Vjb25kYXJ5LXRpdGxlPjxhbHQtdGl0bGU+TmF0dXJlPC9hbHQtdGl0bGU+PC90aXRsZXM+
PHBlcmlvZGljYWw+PGZ1bGwtdGl0bGU+TmF0dXJlPC9mdWxsLXRpdGxlPjwvcGVyaW9kaWNhbD48
YWx0LXBlcmlvZGljYWw+PGZ1bGwtdGl0bGU+TmF0dXJlPC9mdWxsLXRpdGxlPjwvYWx0LXBlcmlv
ZGljYWw+PHBhZ2VzPjU0Ny01NTM8L3BhZ2VzPjx2b2x1bWU+NDkxPC92b2x1bWU+PG51bWJlcj43
NDI1PC9udW1iZXI+PGtleXdvcmRzPjxrZXl3b3JkPnNsb3ctd2F2ZSBzbGVlcDwva2V5d29yZD48
a2V5d29yZD50cmFpbmluZyByZXZlcnNpYmxlIGluYWN0aXZhdGlvbjwva2V5d29yZD48a2V5d29y
ZD5tZW1vcnktc3lzdGVtczwva2V5d29yZD48a2V5d29yZD5kZWNsYXJhdGl2ZSBtZW1vcnk8L2tl
eXdvcmQ+PGtleXdvcmQ+c2hhcnAgd2F2ZXM8L2tleXdvcmQ+PGtleXdvcmQ+cmlwcGxlczwva2V5
d29yZD48a2V5d29yZD5vc2NpbGxhdGlvbjwva2V5d29yZD48a2V5d29yZD5jb25zb2xpZGF0aW9u
PC9rZXl3b3JkPjxrZXl3b3JkPnJlYWN0aXZhdGlvbjwva2V5d29yZD48a2V5d29yZD5zdGF0ZTwv
a2V5d29yZD48L2tleXdvcmRzPjxkYXRlcz48eWVhcj4yMDEyPC95ZWFyPjxwdWItZGF0ZXM+PGRh
dGU+Tm92IDIyPC9kYXRlPjwvcHViLWRhdGVzPjwvZGF0ZXM+PGlzYm4+MDAyOC0wODM2PC9pc2Ju
PjxhY2Nlc3Npb24tbnVtPklTSTowMDAzMTEzMzk4MDAwNDI8L2FjY2Vzc2lvbi1udW0+PHVybHM+
PHJlbGF0ZWQtdXJscz48dXJsPiZsdDtHbyB0byBJU0kmZ3Q7Oi8vMDAwMzExMzM5ODAwMDQyPC91
cmw+PC9yZWxhdGVkLXVybHM+PC91cmxzPjxlbGVjdHJvbmljLXJlc291cmNlLW51bT5Eb2kgMTAu
MTAzOC9OYXR1cmUxMTYxODwvZWxlY3Ryb25pYy1yZXNvdXJjZS1udW0+PGxhbmd1YWdlPkVuZ2xp
c2g8L2xhbmd1YWdlPjwvcmVjb3JkPjwvQ2l0ZT48L0VuZE5vdGU+AABQAHkAbgAA
</w:fldData>
          </w:fldChar>
        </w:r>
        <w:r w:rsidRPr="00BD4FBF">
          <w:rPr>
            <w:lang w:val="de-DE"/>
          </w:rPr>
          <w:instrText xml:space="preserve"> ADDIN EN.CITE.DATA </w:instrText>
        </w:r>
        <w:r w:rsidRPr="00BD4FBF">
          <w:rPr>
            <w:lang w:val="de-DE"/>
          </w:rPr>
        </w:r>
        <w:r w:rsidRPr="00BD4FBF">
          <w:rPr>
            <w:lang w:val="de-DE"/>
          </w:rPr>
          <w:fldChar w:fldCharType="end"/>
        </w:r>
        <w:r w:rsidRPr="00BD4FBF">
          <w:rPr>
            <w:lang w:val="de-DE"/>
          </w:rPr>
        </w:r>
        <w:r w:rsidRPr="00BD4FBF">
          <w:rPr>
            <w:lang w:val="de-DE"/>
          </w:rPr>
          <w:fldChar w:fldCharType="separate"/>
        </w:r>
        <w:r w:rsidRPr="00BD4FBF">
          <w:rPr>
            <w:noProof/>
            <w:vertAlign w:val="superscript"/>
            <w:lang w:val="de-DE"/>
          </w:rPr>
          <w:t>3</w:t>
        </w:r>
        <w:r w:rsidRPr="00BD4FBF">
          <w:rPr>
            <w:lang w:val="de-DE"/>
          </w:rPr>
          <w:fldChar w:fldCharType="end"/>
        </w:r>
      </w:hyperlink>
      <w:r w:rsidRPr="00BD4FBF">
        <w:rPr>
          <w:lang w:val="de-DE"/>
        </w:rPr>
        <w:t xml:space="preserve">. Doch jenseits des fundamentalen Werts solcher Zustandsbeschreibungen des Systems für Untersuchungen zum Gedächtnis, könnte das Ausloten der Beziehung von MSA zur Aktivität kleiner lokaler neuronaler Populationen an sich schon dazu führen, dass </w:t>
      </w:r>
      <w:r w:rsidRPr="00BD4FBF">
        <w:rPr>
          <w:b/>
          <w:i/>
          <w:lang w:val="de-DE"/>
        </w:rPr>
        <w:t>klinisch relevante neuronale Episoden auf nichtinvasive Art identifiziert werden.</w:t>
      </w:r>
      <w:r w:rsidRPr="00BD4FBF">
        <w:rPr>
          <w:lang w:val="de-DE"/>
        </w:rPr>
        <w:t xml:space="preserve"> Zurzeit können diese oft nur umständlich untersucht werden, während der präoperativen intrakraniellen Aufzeichnungen, die der Lokalisierung pathologischer Aktivität, d.h. der Stellen für epileptische Anfälle, dienen. </w:t>
      </w:r>
    </w:p>
    <w:p w:rsidR="00467684" w:rsidRPr="00BD4FBF" w:rsidRDefault="00467684" w:rsidP="00BD4FBF">
      <w:pPr>
        <w:rPr>
          <w:lang w:val="de-DE"/>
        </w:rPr>
      </w:pPr>
      <w:r w:rsidRPr="00BD4FBF">
        <w:rPr>
          <w:lang w:val="de-DE"/>
        </w:rPr>
        <w:t xml:space="preserve">Unsere Forschung erfolgt an nichthumanen Primaten (NHP) und Nagetieren. Die biophysikalischen Eigenschaften einzelner Neuronen und von Mikroschaltkreisen kleiner neuronaler Populationen können an jedem Tier untersucht werden, und mit solchen Studien erweitert sich unser Wissen über diese Mikroprozesse ganz entscheidend. Um jedoch unsere Hirnsysteme zu verstehen, und um eventuell Einblicke in menschliches Verhalten und Störungen desselben zu gewinnen, braucht man die Forschung an nichthumanen Primaten mit denselben Makrokonnektivitäts-Grundmustern und derselben Organisation der Gehirnrinde wie beim Menschen. Zugleich lässt es sich nicht leugnen, dass eben diese strukturelle und funktionelle Ähnlichkeit der Gehirne von Menschen und NHP einige schwierige ethische Fragen aufwirft, erhöht doch dieselbe Ähnlichkeit die Wahrscheinlichkeit, dass Primaten Schmerz und Leid auf ähnliche Art und Weise wie Menschen erfahren. Die Ziele und die Methoden der Grundlagenforschung mit NHP sind daher streng reguliert, um Unangenehmes zu minimieren und gleichzeitig innovative wissenschaftliche Forschung sicherzustellen. Tatsächlich ist es so, dass nach den gegenwärtigen Regeln Tierversuche nur erlaubt sind, wenn es keine Alternativen dazu gibt. </w:t>
      </w:r>
    </w:p>
    <w:p w:rsidR="00467684" w:rsidRPr="00BD4FBF" w:rsidRDefault="00467684" w:rsidP="00BD4FBF">
      <w:pPr>
        <w:rPr>
          <w:lang w:val="de-DE"/>
        </w:rPr>
      </w:pPr>
      <w:r w:rsidRPr="00BD4FBF">
        <w:rPr>
          <w:lang w:val="de-DE"/>
        </w:rPr>
        <w:lastRenderedPageBreak/>
        <w:t xml:space="preserve">Trotzdem garantiert die strikte Einhaltung von Geist und Buchstaben solcher Regulierungen nicht die Risikofreiheit der Verfahren. Diese Tatsache wird ausführlich diskutiert und in jedem Tierversuchsprotokoll überall auf der Welt eingeräumt, ganz bestimmt aber in jenen Protokollen, die von den zuständigen Behörden in Deutschland (bei uns das  Regierungspräsidium) genehmigt werden. Es sind eben diese nicht auszuschließenden Risiken, die es notwendig machen, dass invasive Experimente an Tieren und nicht an Menschen durchgeführt werden. </w:t>
      </w:r>
    </w:p>
    <w:p w:rsidR="00467684" w:rsidRPr="00BD4FBF" w:rsidRDefault="00467684" w:rsidP="00BD4FBF">
      <w:pPr>
        <w:rPr>
          <w:lang w:val="de-DE"/>
        </w:rPr>
      </w:pPr>
      <w:r w:rsidRPr="00BD4FBF">
        <w:rPr>
          <w:lang w:val="de-DE"/>
        </w:rPr>
        <w:t>Ganz offensichtlich bringen invasive Experimente, bei denen mit Stimulations- oder Ableitungselektroden in das Gehirn eingedrungen wird, das Risiko von Schäden am Gehirn und von Infektionen mit sich. So wurden beispielsweise zahlreiche Risiko-Nutzen-Abwägungen zur sogenannten Tiefenhirnstimulation (THS) veröffentlicht. Diese invasive Methode findet bei der Behandlung von mehreren medikamentenresistenten schwerwiegenden Erkrankungen Anwendung, so etwa bei der Parkinson-Krankheit, Adipositas, Obsessionen und verschiedenen Formen von Depression.  Etwa 1,5 Millionen Amerikaner leiden an Parkinson, und Deutschland hat mehr Parkinson-Fälle als jedes andere Land in Europa, mit 150 Fällen auf 100.000 Einwohner und 1.800 auf 100.000 Menschen im Alter von über 65 Jahren</w:t>
      </w:r>
      <w:hyperlink w:anchor="_ENREF_4" w:tooltip="Schroder, 2011 #53349" w:history="1">
        <w:r w:rsidRPr="00BD4FBF">
          <w:rPr>
            <w:lang w:val="de-DE"/>
          </w:rPr>
          <w:fldChar w:fldCharType="begin"/>
        </w:r>
        <w:r w:rsidRPr="00BD4FBF">
          <w:rPr>
            <w:lang w:val="de-DE"/>
          </w:rPr>
          <w:instrText xml:space="preserve"> ADDIN EN.CITE &lt;EndNote&gt;&lt;Cite&gt;&lt;Author&gt;Schroder&lt;/Author&gt;&lt;Year&gt;2011&lt;/Year&gt;&lt;RecNum&gt;53349&lt;/RecNum&gt;&lt;DisplayText&gt;&lt;style face="superscript"&gt;4&lt;/style&gt;&lt;/DisplayText&gt;&lt;record&gt;&lt;rec-number&gt;53349&lt;/rec-number&gt;&lt;foreign-keys&gt;&lt;key app="EN" db-id="zssrt05ea5a9vvew0zqpxsscdsp2x55xwt99"&gt;53349&lt;/key&gt;&lt;/foreign-keys&gt;&lt;ref-type name="Journal Article"&gt;17&lt;/ref-type&gt;&lt;contributors&gt;&lt;authors&gt;&lt;author&gt;Schroder, S.&lt;/author&gt;&lt;author&gt;Kuessner, D.&lt;/author&gt;&lt;author&gt;Arnold, G.&lt;/author&gt;&lt;author&gt;Zollner, Y.&lt;/author&gt;&lt;author&gt;Jones, E.&lt;/author&gt;&lt;author&gt;Schaefer, M.&lt;/author&gt;&lt;/authors&gt;&lt;/contributors&gt;&lt;auth-address&gt;Institute of Clinical Pharmacology, Charite University Medicine, CCM, Berlin, Germany;&lt;/auth-address&gt;&lt;titles&gt;&lt;title&gt;Do neurologists in Germany adhere to the national Parkinson&amp;apos;s disease guideline?&lt;/title&gt;&lt;secondary-title&gt;Neuropsychiatr Dis Treat&lt;/secondary-title&gt;&lt;alt-title&gt;Neuropsychiatric disease and treatment&lt;/alt-title&gt;&lt;/titles&gt;&lt;periodical&gt;&lt;full-title&gt;Neuropsychiatr Dis Treat&lt;/full-title&gt;&lt;abbr-1&gt;Neuropsychiatric disease and treatment&lt;/abbr-1&gt;&lt;/periodical&gt;&lt;alt-periodical&gt;&lt;full-title&gt;Neuropsychiatr Dis Treat&lt;/full-title&gt;&lt;abbr-1&gt;Neuropsychiatric disease and treatment&lt;/abbr-1&gt;&lt;/alt-periodical&gt;&lt;pages&gt;103-10&lt;/pages&gt;&lt;volume&gt;7&lt;/volume&gt;&lt;dates&gt;&lt;year&gt;2011&lt;/year&gt;&lt;/dates&gt;&lt;isbn&gt;1178-2021 (Electronic)&amp;#xD;1176-6328 (Linking)&lt;/isbn&gt;&lt;accession-num&gt;21552312&lt;/accession-num&gt;&lt;urls&gt;&lt;related-urls&gt;&lt;url&gt;http://www.ncbi.nlm.nih.gov/pubmed/21552312&lt;/url&gt;&lt;/related-urls&gt;&lt;/urls&gt;&lt;custom2&gt;3083983&lt;/custom2&gt;&lt;electronic-resource-num&gt;10.2147/NDT.S8895&lt;/electronic-resource-num&gt;&lt;/record&gt;&lt;/Cite&gt;&lt;/EndNote&gt;</w:instrText>
        </w:r>
        <w:r w:rsidRPr="00BD4FBF">
          <w:rPr>
            <w:lang w:val="de-DE"/>
          </w:rPr>
          <w:fldChar w:fldCharType="separate"/>
        </w:r>
        <w:r w:rsidRPr="00BD4FBF">
          <w:rPr>
            <w:noProof/>
            <w:vertAlign w:val="superscript"/>
            <w:lang w:val="de-DE"/>
          </w:rPr>
          <w:t>4</w:t>
        </w:r>
        <w:r w:rsidRPr="00BD4FBF">
          <w:rPr>
            <w:lang w:val="de-DE"/>
          </w:rPr>
          <w:fldChar w:fldCharType="end"/>
        </w:r>
      </w:hyperlink>
      <w:r w:rsidRPr="00BD4FBF">
        <w:rPr>
          <w:lang w:val="de-DE"/>
        </w:rPr>
        <w:t>. Das Leben von Zehntausenden von Parkinson-Patienten hat sich durch THS grundlegend verändert, d. h. durch eine Therapiemethode, die, so möchte ich hinzufügen, an Affen entwickelt wurde. Die Leitungen für die THS werden auf höchstmöglichem Qualitätsniveau implantiert. Dennoch kommt es durch diese Leitungen zu vorübergehenden Hämatomen und sogar zu möglicherweise permanenten Defiziten; das ist in 3,3% bzw. 0,5-1% der behandelten Patienten der Fall. Diese Prozentzahlen erhöhen sich deutlich, wenn Mikroelektrodenableitungen eingesetzt werden, um die anatomischen Ziele zu verifizieren</w:t>
      </w:r>
      <w:hyperlink w:anchor="_ENREF_5" w:tooltip="Binder, 2003 #53367" w:history="1">
        <w:r w:rsidRPr="00BD4FBF">
          <w:rPr>
            <w:lang w:val="de-DE"/>
          </w:rPr>
          <w:fldChar w:fldCharType="begin"/>
        </w:r>
        <w:r w:rsidRPr="00BD4FBF">
          <w:rPr>
            <w:lang w:val="de-DE"/>
          </w:rPr>
          <w:instrText xml:space="preserve"> ADDIN EN.CITE &lt;EndNote&gt;&lt;Cite&gt;&lt;Author&gt;Binder&lt;/Author&gt;&lt;Year&gt;2003&lt;/Year&gt;&lt;RecNum&gt;53367&lt;/RecNum&gt;&lt;DisplayText&gt;&lt;style face="superscript"&gt;5&lt;/style&gt;&lt;/DisplayText&gt;&lt;record&gt;&lt;rec-number&gt;53367&lt;/rec-number&gt;&lt;foreign-keys&gt;&lt;key app="EN" db-id="zssrt05ea5a9vvew0zqpxsscdsp2x55xwt99"&gt;53367&lt;/key&gt;&lt;/foreign-keys&gt;&lt;ref-type name="Journal Article"&gt;17&lt;/ref-type&gt;&lt;contributors&gt;&lt;authors&gt;&lt;author&gt;Binder, D. K.&lt;/author&gt;&lt;author&gt;Rau, G.&lt;/author&gt;&lt;author&gt;Starr, P. A.&lt;/author&gt;&lt;/authors&gt;&lt;/contributors&gt;&lt;auth-address&gt;Department of Neurological Surgery, University of California, San Francisco, CA 94143-0112, USA. dbinder@itsa.ucsf.edu&lt;/auth-address&gt;&lt;titles&gt;&lt;title&gt;Hemorrhagic complications of microelectrode-guided deep brain stimulation&lt;/title&gt;&lt;secondary-title&gt;Stereotact Funct Neurosurg&lt;/secondary-title&gt;&lt;alt-title&gt;Stereotactic and functional neurosurgery&lt;/alt-title&gt;&lt;/titles&gt;&lt;periodical&gt;&lt;full-title&gt;Stereotact Funct Neurosurg&lt;/full-title&gt;&lt;/periodical&gt;&lt;alt-periodical&gt;&lt;full-title&gt;Stereotactic and Functional Neurosurgery&lt;/full-title&gt;&lt;/alt-periodical&gt;&lt;pages&gt;28-31&lt;/pages&gt;&lt;volume&gt;80&lt;/volume&gt;&lt;number&gt;1-4&lt;/number&gt;&lt;keywords&gt;&lt;keyword&gt;Cerebral Hemorrhage/epidemiology/*etiology&lt;/keyword&gt;&lt;keyword&gt;Electric Stimulation Therapy/*adverse effects&lt;/keyword&gt;&lt;keyword&gt;Globus Pallidus/surgery&lt;/keyword&gt;&lt;keyword&gt;Humans&lt;/keyword&gt;&lt;keyword&gt;Incidence&lt;/keyword&gt;&lt;keyword&gt;Microelectrodes/*adverse effects&lt;/keyword&gt;&lt;keyword&gt;Movement Disorders/epidemiology/surgery/*therapy&lt;/keyword&gt;&lt;keyword&gt;Postoperative Complications/epidemiology&lt;/keyword&gt;&lt;keyword&gt;Risk Factors&lt;/keyword&gt;&lt;keyword&gt;Subthalamic Nucleus/surgery&lt;/keyword&gt;&lt;keyword&gt;Thalamus/surgery&lt;/keyword&gt;&lt;/keywords&gt;&lt;dates&gt;&lt;year&gt;2003&lt;/year&gt;&lt;/dates&gt;&lt;isbn&gt;1011-6125 (Print)&amp;#xD;1011-6125 (Linking)&lt;/isbn&gt;&lt;accession-num&gt;14745205&lt;/accession-num&gt;&lt;urls&gt;&lt;related-urls&gt;&lt;url&gt;http://www.ncbi.nlm.nih.gov/pubmed/14745205&lt;/url&gt;&lt;/related-urls&gt;&lt;/urls&gt;&lt;electronic-resource-num&gt;75156&lt;/electronic-resource-num&gt;&lt;/record&gt;&lt;/Cite&gt;&lt;/EndNote&gt;</w:instrText>
        </w:r>
        <w:r w:rsidRPr="00BD4FBF">
          <w:rPr>
            <w:lang w:val="de-DE"/>
          </w:rPr>
          <w:fldChar w:fldCharType="separate"/>
        </w:r>
        <w:r w:rsidRPr="00BD4FBF">
          <w:rPr>
            <w:noProof/>
            <w:vertAlign w:val="superscript"/>
            <w:lang w:val="de-DE"/>
          </w:rPr>
          <w:t>5</w:t>
        </w:r>
        <w:r w:rsidRPr="00BD4FBF">
          <w:rPr>
            <w:lang w:val="de-DE"/>
          </w:rPr>
          <w:fldChar w:fldCharType="end"/>
        </w:r>
      </w:hyperlink>
      <w:r w:rsidRPr="00BD4FBF">
        <w:rPr>
          <w:lang w:val="de-DE"/>
        </w:rPr>
        <w:t>; dann kommt es im allgemeinen in 5% bis 8% der Patienten zu Infektionen</w:t>
      </w:r>
      <w:hyperlink w:anchor="_ENREF_6" w:tooltip="Lyons, 2004 #53380" w:history="1">
        <w:r w:rsidRPr="00BD4FBF">
          <w:rPr>
            <w:lang w:val="de-DE"/>
          </w:rPr>
          <w:fldChar w:fldCharType="begin"/>
        </w:r>
        <w:r w:rsidRPr="00BD4FBF">
          <w:rPr>
            <w:lang w:val="de-DE"/>
          </w:rPr>
          <w:instrText xml:space="preserve"> ADDIN EN.CITE &lt;EndNote&gt;&lt;Cite&gt;&lt;Author&gt;Lyons&lt;/Author&gt;&lt;Year&gt;2004&lt;/Year&gt;&lt;RecNum&gt;53380&lt;/RecNum&gt;&lt;DisplayText&gt;&lt;style face="superscript"&gt;6&lt;/style&gt;&lt;/DisplayText&gt;&lt;record&gt;&lt;rec-number&gt;53380&lt;/rec-number&gt;&lt;foreign-keys&gt;&lt;key app="EN" db-id="zssrt05ea5a9vvew0zqpxsscdsp2x55xwt99"&gt;53380&lt;/key&gt;&lt;/foreign-keys&gt;&lt;ref-type name="Journal Article"&gt;17&lt;/ref-type&gt;&lt;contributors&gt;&lt;authors&gt;&lt;author&gt;Lyons, K. E.&lt;/author&gt;&lt;author&gt;Pahwa, R.&lt;/author&gt;&lt;/authors&gt;&lt;/contributors&gt;&lt;auth-address&gt;Department of Neurology, University of Kansas Medical Center, 3599 Rainbow Boulevard, Mailstop 2012, Kansas City, KS 66160, USA. lyons.kelly@att.net&lt;/auth-address&gt;&lt;titles&gt;&lt;title&gt;Deep brain stimulation in Parkinson&amp;apos;s disease&lt;/title&gt;&lt;secondary-title&gt;Curr Neurol Neurosci Rep&lt;/secondary-title&gt;&lt;alt-title&gt;Current neurology and neuroscience reports&lt;/alt-title&gt;&lt;/titles&gt;&lt;alt-periodical&gt;&lt;full-title&gt;Current Neurology and Neuroscience Reports&lt;/full-title&gt;&lt;/alt-periodical&gt;&lt;pages&gt;290-5&lt;/pages&gt;&lt;volume&gt;4&lt;/volume&gt;&lt;number&gt;4&lt;/number&gt;&lt;keywords&gt;&lt;keyword&gt;Animals&lt;/keyword&gt;&lt;keyword&gt;Electric Stimulation Therapy/*methods&lt;/keyword&gt;&lt;keyword&gt;Globus Pallidus/*physiology&lt;/keyword&gt;&lt;keyword&gt;Humans&lt;/keyword&gt;&lt;keyword&gt;Parkinson Disease/physiopathology/*therapy&lt;/keyword&gt;&lt;keyword&gt;Thalamus/*physiology&lt;/keyword&gt;&lt;/keywords&gt;&lt;dates&gt;&lt;year&gt;2004&lt;/year&gt;&lt;pub-dates&gt;&lt;date&gt;Jul&lt;/date&gt;&lt;/pub-dates&gt;&lt;/dates&gt;&lt;isbn&gt;1528-4042 (Print)&amp;#xD;1528-4042 (Linking)&lt;/isbn&gt;&lt;accession-num&gt;15217543&lt;/accession-num&gt;&lt;urls&gt;&lt;related-urls&gt;&lt;url&gt;http://www.ncbi.nlm.nih.gov/pubmed/15217543&lt;/url&gt;&lt;/related-urls&gt;&lt;/urls&gt;&lt;/record&gt;&lt;/Cite&gt;&lt;/EndNote&gt;</w:instrText>
        </w:r>
        <w:r w:rsidRPr="00BD4FBF">
          <w:rPr>
            <w:lang w:val="de-DE"/>
          </w:rPr>
          <w:fldChar w:fldCharType="separate"/>
        </w:r>
        <w:r w:rsidRPr="00BD4FBF">
          <w:rPr>
            <w:noProof/>
            <w:vertAlign w:val="superscript"/>
            <w:lang w:val="de-DE"/>
          </w:rPr>
          <w:t>6</w:t>
        </w:r>
        <w:r w:rsidRPr="00BD4FBF">
          <w:rPr>
            <w:lang w:val="de-DE"/>
          </w:rPr>
          <w:fldChar w:fldCharType="end"/>
        </w:r>
      </w:hyperlink>
      <w:r w:rsidRPr="00BD4FBF">
        <w:rPr>
          <w:lang w:val="de-DE"/>
        </w:rPr>
        <w:t>.</w:t>
      </w:r>
    </w:p>
    <w:p w:rsidR="00467684" w:rsidRPr="00BD4FBF" w:rsidRDefault="00467684" w:rsidP="00BD4FBF">
      <w:pPr>
        <w:rPr>
          <w:lang w:val="de-DE"/>
        </w:rPr>
      </w:pPr>
      <w:r w:rsidRPr="00BD4FBF">
        <w:rPr>
          <w:lang w:val="de-DE"/>
        </w:rPr>
        <w:t xml:space="preserve">So wie beim Menschen kann es auch bei Tieren zu Hirnverletzungen durch Ableitungselektroden kommen.  Vor kurzem wurde das ausgenutzt, um unsere Versuchsverfahren verfälscht darzustellen und in Misskredit zu bringen, um die öffentliche Stimmung gegen unser Labor aufzubringen und Zweifel am Wohlergehen unserer Tiere aufkommen zu lassen. Ein Pfleger wurde von der  britischen Tierschutzorganisation „British Union for the Abolition of Vivisection“ (BUAV) und dem deutschen Verein SOKO-Tierschutz in unsere Primateneinrichtungen eingeschleust und „untersuchte“ unsere Methoden und die Verfassung unserer Tiere. Der Pfleger filmte ein Tier namens Stella in einer Notsituation und zeigte das in einer Sendung von Stern TV, um die natürliche emotionale Reaktion einer uninformierten Öffentlichkeit auszunutzen. Diese perfide Kampagne präsentierte einen Ausnahmefall als typisch, und benutzte Teilwahrheiten oder aus dem Kontext herausgerissene Tatsachen, um zu den gewünschten Schlussfolgerungen zu gelangen. Hinzu kamen falsche Behauptungen und sogar selbst geschaffene Artefakte. </w:t>
      </w:r>
    </w:p>
    <w:p w:rsidR="00467684" w:rsidRPr="00BD4FBF" w:rsidRDefault="00467684" w:rsidP="00BD4FBF">
      <w:pPr>
        <w:rPr>
          <w:lang w:val="de-DE"/>
        </w:rPr>
      </w:pPr>
      <w:r w:rsidRPr="00BD4FBF">
        <w:rPr>
          <w:lang w:val="de-DE"/>
        </w:rPr>
        <w:t>Während der Einführung von Elektroden entstehen Schäden am Gefäßsystem des Gehirns, die zu halbseitigen Lähmungserscheinungen führen können. Kommt eine Infektion hinzu, kann der erhöhte Blutdruck innerhalb des Schädels zu Erbrechen führen. In über 30 Jahren aktiver Arbeit mit Primaten habe ich persönlich insgesamt nur 4 oder 5mal Tiere mit halbseitiger Lähmung gesehen, und Stellas Fall war einzigartig. Auch wenn wir solche Komplikationen keinesfalls auf die leichte Schulter nehmen, so bleibt doch die Tatsache, dass sie auftreten können, und das obwohl die Platzierung von Elektroden in unserem Labor, genau wie in einem Krankenhaus, der präzisen Lokalisierung der Zielstrukturen auf der Basis anatomischer und angiografischer MRT folgt. Tierschutzregeln besagen, dass zunächst einmal versucht werden muss, einen verletzten Affen zu behandeln, bevor dann der verantwortliche Veterinär entscheidet, das Tier einzuschläfern. Während solch einer vorgeschriebenen Behandlungsperiode filmte der Pfleger, Herr Andrzej Pazgan (alias Pawel), die ausgestrahlten Szenen.</w:t>
      </w:r>
    </w:p>
    <w:p w:rsidR="00467684" w:rsidRPr="00BD4FBF" w:rsidRDefault="00467684" w:rsidP="00BD4FBF">
      <w:pPr>
        <w:rPr>
          <w:lang w:val="de-DE"/>
        </w:rPr>
      </w:pPr>
      <w:r w:rsidRPr="00BD4FBF">
        <w:rPr>
          <w:lang w:val="de-DE"/>
        </w:rPr>
        <w:t xml:space="preserve">Der Film zeigte auch ein blutendes Tier, das an seiner Wunde und seinem Implantat reißt. Nach einem chirurgischen Eingriff stellen wir immer sicher, dass den Tieren genügend Schmerzmittel verabreicht werden. Nach Rückkehr des Tiers in seinen Käfig folgen unsere medizinischen Assistenten und Pfleger mit Sorgfalt einem standardisierten Erholungsprotokoll unter tierärztlicher Aufsicht. Regelmäßig beobachten wir, dass ein Affe sein Implantat untersucht, indem er es vorsichtig berührt und daran zupft, doch hat keiner von uns je beobachtet, dass ein Affe am Implantat herumreißt, weil er an Schmerzen leidet. Sollte das der Fall sein, muss die Person, die das beobachtet, unseren Instruktionen folgend sofort den Tierarzt rufen. Nach Veröffentlichung des Filmmaterials konnte keine der verantwortlichen Personen des Instituts irgendeine Spur eines Alarms durch den Undercover-Pfleger wegen dieses Vorfalls finden. Er war zuständig – und damit auch zuständig dafür, den Vorfall zu melden. Teilweise können die Blutungen auf dieses Kratzen zurückzuführen sein, doch das meiste „Bluten“, das in der Stern TV-Sendung zu sehen war, sind keine Hämorrhagien, sondern es ist Wundsekret zu sehen, eine normale physiologische Reaktion auf einem chirurgischen Eingriff. Bei chirurgischen Eingriffen an Menschen werden Verbände angebracht oder Drainagen gelegt, was bei Affen nicht möglich ist. Um Hämatome oder die Anhäufung von Flüssigkeit unter der Haut zu vermeiden, werden hier die Nähte mit größerer Entfernung gesetzt, damit die </w:t>
      </w:r>
      <w:r w:rsidRPr="00BD4FBF">
        <w:rPr>
          <w:lang w:val="de-DE"/>
        </w:rPr>
        <w:lastRenderedPageBreak/>
        <w:t xml:space="preserve">Flüssigkeit abfließen kann.  Hinzu kommt, dass der Kopf des Affen mit restlichem Betadine und Gewebekleber aus dem chirurgischen Eingriff bedeckt ist, was ihn noch kritischer aussehen lässt. Bis vor kurzem konnte die postoperative Beobachtung, wie sie unser Standardprotokoll für die Erholungsphase vorschreibt, während der Nachtstunden nicht durchgeführt werden. Deshalb stellte der Tierarzt sicher, dass die Versorgung mit Analgetika über Nacht immer in ausreichendem Maße gewährleistet war. Auch wenn wir in der Vergangenheit damit kaum einmal Probleme hatten, so wurde uns jetzt von der Max-Planck-Gesellschaft (MPG) zusätzliches Personal genehmigt, um auch über Nacht eine Versorgung wie auf einer „Intensivstation“ zu ermöglichen. </w:t>
      </w:r>
    </w:p>
    <w:p w:rsidR="00467684" w:rsidRPr="00BD4FBF" w:rsidRDefault="00467684" w:rsidP="00BD4FBF">
      <w:pPr>
        <w:rPr>
          <w:lang w:val="de-DE"/>
        </w:rPr>
      </w:pPr>
      <w:r w:rsidRPr="00BD4FBF">
        <w:rPr>
          <w:lang w:val="de-DE"/>
        </w:rPr>
        <w:t xml:space="preserve">In ihrem Versuch, das Leiden der Tiere in unserem Institut „aufzudecken“, präsentierten BUAV/SOKO schließlich einige Tiere mit ungewöhnlichen stereotypischen Bewegungsmustern, so etwa Tiere, die sich ständig im Kreis drehen. Derartige Verhaltensmuster beobachtet man häufig an Tieren, die in kleinen Einzelkäfigen leben. Unsere Affen werden in natürlichen Gruppen in einer abwechslungsreichen, stimulierenden Umgebung gehalten. Kleine Käfige kommen nur kurzzeitig zum Einsatz, wenn es beispielsweise nötig ist, ein Tier von einer Gruppe zu trennen, z. B. zur medizinischen Behandlung. Solche stereotypischen Bewegungen wie im Film gezeigt wurden in unseren Einrichtungen seit über 16 Jahren nicht mehr beobachtet. Sie lassen sich jedoch dadurch herbeiführen, dass eine Person zu nahe an einem Käfig steht, besonders dann wenn ein Tier in einem kleinen Käfig untergebracht ist und nervös wird. Es ist fast sicher, dass die stereotypischen Bewegungen im Film absichtlich durch den Pfleger ausgelöst wurden.  </w:t>
      </w:r>
    </w:p>
    <w:p w:rsidR="00467684" w:rsidRPr="00BD4FBF" w:rsidRDefault="00467684" w:rsidP="00BD4FBF">
      <w:pPr>
        <w:rPr>
          <w:lang w:val="de-DE"/>
        </w:rPr>
      </w:pPr>
      <w:r w:rsidRPr="00BD4FBF">
        <w:rPr>
          <w:lang w:val="de-DE"/>
        </w:rPr>
        <w:t>In dem 125-seitigen Dokument, das BUAV und SOKO nach der Einschleusung eines Pflegers und den geheimen Filmaufnahmen verschickten, werfen uns die beiden Organisationen vor, dass wir mit unangemessenen Anästhesiemethoden arbeiten, obwohl unsere vollständigen Anästhesieprotokolle in unseren Veröffentlichungen und auf der Webseite des MPIbK zugänglich sind. Insbesondere wird behauptet, dass wir unter Betäubung mit Ketamin größere chirurgische Eingriffe wie Kraniotomien, die Implantation von Kopfhaltern oder von Augenmessspulen durchführen. Das ist schlichtweg nicht wahr. Unsere chirurgischen Einrichtungen sind mit den Apparaten ausgestattet, die standardmäßig in Kliniken für Operationen an Menschen zur Verfügung stehen,  und die in unserem Labor eingesetzten balancierten Narkoseprotokolle wurden von Anästhesisten eingeführt, die auch unser Personal ausgebildet haben. In der Tat haben wir uns sogar die Zeit genommen, den Zustand der Tiere während der Anästhesie zu untersuchen, indem wir mehrere physiologische Parameter, darunter Stresshormone, eng überwachten, und diese Daten auch zu veröffentlichen</w:t>
      </w:r>
      <w:hyperlink w:anchor="_ENREF_7" w:tooltip="Logothetis, 1999 #49193" w:history="1">
        <w:r w:rsidRPr="00BD4FBF">
          <w:rPr>
            <w:lang w:val="de-DE"/>
          </w:rPr>
          <w:fldChar w:fldCharType="begin"/>
        </w:r>
        <w:r w:rsidRPr="00BD4FBF">
          <w:rPr>
            <w:lang w:val="de-DE"/>
          </w:rPr>
          <w:instrText xml:space="preserve"> ADDIN EN.CITE &lt;EndNote&gt;&lt;Cite&gt;&lt;Author&gt;Logothetis&lt;/Author&gt;&lt;Year&gt;1999&lt;/Year&gt;&lt;RecNum&gt;49193&lt;/RecNum&gt;&lt;DisplayText&gt;&lt;style face="superscript"&gt;7&lt;/style&gt;&lt;/DisplayText&gt;&lt;record&gt;&lt;rec-number&gt;49193&lt;/rec-number&gt;&lt;foreign-keys&gt;&lt;key app="EN" db-id="zssrt05ea5a9vvew0zqpxsscdsp2x55xwt99"&gt;49193&lt;/key&gt;&lt;/foreign-keys&gt;&lt;ref-type name="Journal Article"&gt;17&lt;/ref-type&gt;&lt;contributors&gt;&lt;authors&gt;&lt;author&gt;Logothetis, N. K.&lt;/author&gt;&lt;author&gt;Guggenberger, H.&lt;/author&gt;&lt;author&gt;Peled, S.&lt;/author&gt;&lt;author&gt;Pauls, J. M.&lt;/author&gt;&lt;/authors&gt;&lt;/contributors&gt;&lt;titles&gt;&lt;title&gt;Functional imaging of the monkey brain&lt;/title&gt;&lt;secondary-title&gt;Nature Neuroscience&lt;/secondary-title&gt;&lt;alt-title&gt;Nature Neurosci.&lt;/alt-title&gt;&lt;/titles&gt;&lt;periodical&gt;&lt;full-title&gt;Nature Neuroscience&lt;/full-title&gt;&lt;/periodical&gt;&lt;pages&gt;555-562&lt;/pages&gt;&lt;volume&gt;2&lt;/volume&gt;&lt;number&gt;6&lt;/number&gt;&lt;section&gt;555&lt;/section&gt;&lt;dates&gt;&lt;year&gt;1999&lt;/year&gt;&lt;pub-dates&gt;&lt;date&gt;Jun 1999&lt;/date&gt;&lt;/pub-dates&gt;&lt;/dates&gt;&lt;isbn&gt;1097-6256&lt;/isbn&gt;&lt;work-type&gt;Article&lt;/work-type&gt;&lt;urls&gt;&lt;related-urls&gt;&lt;url&gt;&amp;lt;Go to ISI&amp;gt;://000084735900016&lt;/url&gt;&lt;/related-urls&gt;&lt;pdf-urls&gt;&lt;url&gt;file://F:\Shared\NKL\Publications\Logothetis Guggenberger Peled et al_Nature Neuroscience_1999.pdf&lt;/url&gt;&lt;/pdf-urls&gt;&lt;/urls&gt;&lt;electronic-resource-num&gt;10.1038/9210&lt;/electronic-resource-num&gt;&lt;/record&gt;&lt;/Cite&gt;&lt;/EndNote&gt;</w:instrText>
        </w:r>
        <w:r w:rsidRPr="00BD4FBF">
          <w:rPr>
            <w:lang w:val="de-DE"/>
          </w:rPr>
          <w:fldChar w:fldCharType="separate"/>
        </w:r>
        <w:r w:rsidRPr="00BD4FBF">
          <w:rPr>
            <w:noProof/>
            <w:vertAlign w:val="superscript"/>
            <w:lang w:val="de-DE"/>
          </w:rPr>
          <w:t>7</w:t>
        </w:r>
        <w:r w:rsidRPr="00BD4FBF">
          <w:rPr>
            <w:lang w:val="de-DE"/>
          </w:rPr>
          <w:fldChar w:fldCharType="end"/>
        </w:r>
      </w:hyperlink>
      <w:r w:rsidRPr="00BD4FBF">
        <w:rPr>
          <w:lang w:val="de-DE"/>
        </w:rPr>
        <w:t>.</w:t>
      </w:r>
    </w:p>
    <w:p w:rsidR="00467684" w:rsidRPr="00BD4FBF" w:rsidRDefault="00467684" w:rsidP="00BD4FBF">
      <w:pPr>
        <w:rPr>
          <w:lang w:val="de-DE"/>
        </w:rPr>
      </w:pPr>
      <w:r w:rsidRPr="00BD4FBF">
        <w:rPr>
          <w:lang w:val="de-DE"/>
        </w:rPr>
        <w:t>BUAV/SOKO behaupten auch, wir würden mit grausamem Wasserentzug arbeiten. Das ist nicht der Fall und war es auch nicht. Zunächst einmal ist es so, dass von 42 Affen nur 8 bei Verhaltensversuchen eingesetzt werden. In keinem dieser Versuche war es je nötig, mit schwerem Flüssigkeitsentzug vorzugehen. Die beiden Organisationen ignorieren den klaren Unterschied zwischen extremem, Stress auslösendem Durst und einem Mangel an Sättigung, der eine Belohnung mit Saft attraktiv macht. Unsere Affen werden nicht so gehalten, dass sie ernsthaft oder auch nur unangenehm durstig sind, doch im Zusammenhang mit Experimenten bekommen sie nicht so viel Flüssigkeit, dass sie nicht mehr trinken wollen. Es sieht so aus, als ob diese Organisationen schon von vornherein entschlossen waren zu zeigen, dass wir unsere Affen schlecht behandeln, da die Beispiele, die als Belege angeführt werden, für die Sache irrelevant sind. Wenn berichtet wird, dass mit Wasserentzug gearbeitet würde, um die Tiere dahingehend zu trainieren, dass sie in den Primatenstuhl, der im allgemeinen für Verhaltensexperimente genutzt wird, gehen, beziehen sich die beiden Organisationen häufig auf Protokolle und Affen, die ausschließlich unter Anästhesie eingesetzt werden, so dass Belohnungen in Form von Flüssigkeit oder ein Stuhltraining überhaupt nicht nötig sind. In keinem unserer Versuchsprotokolle und Trainingsverfahren wurde jemals mit negativer Verstärkung, etwa mit aversiven Reizen wie Kochsalzlösung, vorgegangen. Gegenteilige Behauptungen sind einfach nur falsch.</w:t>
      </w:r>
    </w:p>
    <w:p w:rsidR="00467684" w:rsidRPr="00BD4FBF" w:rsidRDefault="00467684" w:rsidP="00BD4FBF">
      <w:pPr>
        <w:rPr>
          <w:lang w:val="de-DE"/>
        </w:rPr>
      </w:pPr>
      <w:r w:rsidRPr="00BD4FBF">
        <w:rPr>
          <w:lang w:val="de-DE"/>
        </w:rPr>
        <w:t>Unglücklicherweise verletzt der BUAV/SOKO-Bericht – der schon innerhalb der Europäischen Kommission und in Regierungs- und Regulierungsbehörden in Deutschland zirkuliert – ganz und gar das in der Verfassung verbriefte Recht auf Privatheit der Korrespondenz, indem er illegal aufgefangene E-Mail-Kommunikationen zwischen Mitarbeitern und Tierärzten veröffentlicht, und sie dabei systematisch aus dem Kontext herausgerissen präsentiert.</w:t>
      </w:r>
    </w:p>
    <w:p w:rsidR="00467684" w:rsidRPr="00BD4FBF" w:rsidRDefault="00467684" w:rsidP="00BD4FBF">
      <w:pPr>
        <w:rPr>
          <w:lang w:val="de-DE"/>
        </w:rPr>
      </w:pPr>
      <w:r w:rsidRPr="00BD4FBF">
        <w:rPr>
          <w:lang w:val="de-DE"/>
        </w:rPr>
        <w:t xml:space="preserve">Zu den falschen Anschuldigungen gehört auch die bizarre Behauptung, die Tierforschung am MPIbK sei umgeben von Geheimniskrämerei. Ironischerweise ist unser Institut wohl die einzige Primatenforschungseinrichtung weltweit, die ständig versucht, unter maximal transparenten Bedingungen vorzugehen. Zunächst einmal haben wird die Behörden aufgefordert, unsere Einrichtungen jederzeit zu besuchen, ohne jede Vorwarnung, so dass sie sich objektiv ein Bild vom Zustand unserer Tiere machen können. Tatsache ist, dass ich persönlich dem Regierungspräsidium einen Schlüssel zu unseren Räumlichkeiten angeboten habe, ein Angebot, das ausgeschlagen </w:t>
      </w:r>
      <w:r w:rsidRPr="00BD4FBF">
        <w:rPr>
          <w:lang w:val="de-DE"/>
        </w:rPr>
        <w:lastRenderedPageBreak/>
        <w:t xml:space="preserve">wurde, weil das als möglicher Regelverstoß gesehen wurde. Immer wieder haben wir zu uns eingeladen: alle anderen Direktoren auf dem Tübinger Max-Planck-Campus, die Minister des Landes Baden-Württemberg, den Oberbürgermeister der Stadt, ja sogar das Fernsehen (das ZDF), um unsere Einrichtungen und unsere chirurgischen Verfahren zu filmen. Mehrere Stunden Filmaufnahmen und Fotografien des ZDF wurden dann leider bis zur Unkenntlichkeit zusammengeschnitten, aus dem Kontext gerissen und so präsentiert, dass sie vorgefassten Schlussfolgerungen dienten. Unsere Internetseite erlaubt einen Einblick in die vollständigen Details unserer Forschung, unserer Verfahren und unserer umfangreichen Anstrengungen, das Wohlergehen unserer Tiere sicherzustellen, was letztendlich auch die Integrität unserer Forschungsergebnisse garantiert. Leider ist es so, dass vollständige Offenlegung, wie etwa auf unserer Webseite, dazu geführt hat, dass die Wahrhaftigkeit unserer freiwillig zur Verfügung gestellten Informationen in Frage gestellt wird. Auch wenn all das auf unser eigenes Labor zielt, so bedrohen derartige Strategien letztendlich die Tierforschung an sich, ja sogar die gesamte Grundlagenforschung.   </w:t>
      </w:r>
    </w:p>
    <w:p w:rsidR="00467684" w:rsidRPr="00BD4FBF" w:rsidRDefault="00467684" w:rsidP="00BD4FBF">
      <w:pPr>
        <w:rPr>
          <w:lang w:val="de-DE"/>
        </w:rPr>
      </w:pPr>
      <w:r w:rsidRPr="00BD4FBF">
        <w:rPr>
          <w:lang w:val="de-DE"/>
        </w:rPr>
        <w:t xml:space="preserve">Nach der Unterwanderung durch BUAV/SOKO wurde die Qualität unserer Einrichtungen und unserer Verfahren erneut öffentlich durch einen externen, von der MPG berufenen Prüfer evaluiert. Sein Bericht betont, dass jede medizinische Intervention, ob nun an Menschen oder an Tieren, immer Risiken in sich birgt, dass es etwa zu postoperativen Blutungen oder Problemen mit den Nähten kommen kann. Im Bericht werden Veränderungen im Umgang des Instituts mit den Tieren empfohlen, doch im Gegensatz zur Darstellung der BUAV wurden keine fundamentalen, systematischen Probleme festgestellt. Trotz aller Anstrengungen von BUAV/SOKO einen anderen Eindruck zu erwecken, gilt das MPIbK in der internationalen Wissenschaftsgemeinde als eines der weltweit besten Institute, was das Wohl der Tiere, die Pflegestandards und die Transparenz angeht. </w:t>
      </w:r>
    </w:p>
    <w:p w:rsidR="00467684" w:rsidRPr="00BD4FBF" w:rsidRDefault="00467684" w:rsidP="00BD4FBF">
      <w:pPr>
        <w:rPr>
          <w:szCs w:val="20"/>
          <w:lang w:val="de-DE"/>
        </w:rPr>
      </w:pPr>
      <w:r w:rsidRPr="00BD4FBF">
        <w:rPr>
          <w:lang w:val="de-DE"/>
        </w:rPr>
        <w:t>Spenden an Organisationen wie BUAV oder SOKO mögen dem Gewissen von Tierfreunden gut tun, doch sind sie auch vernünftig? Passen die Aktivitäten der Vivisektionsgegner in die heutige Welt? Die Stadtregierung von Beijing versuchte in einem Tierschutzgesetz „strenge Regeln“ einzuführen. Der Entwurf wurde 2 Tage später zurückgezogen, weil viele Chinesen heftig auf diesen Entwurf reagierten. Sie stellten fest, dass Affen in bestimmten Laboratorien mit Essen, Trinken, Spielzeug und sogar mit Musik versorgt werden, während mehr als ein Zehntel der Bevölkerung mit weniger als 1 Dollar pro Tag auskommen muss</w:t>
      </w:r>
      <w:hyperlink w:anchor="_ENREF_8" w:tooltip="Hao, 2007 #53384" w:history="1">
        <w:r w:rsidRPr="00BD4FBF">
          <w:rPr>
            <w:lang w:val="de-DE"/>
          </w:rPr>
          <w:fldChar w:fldCharType="begin"/>
        </w:r>
        <w:r w:rsidRPr="00BD4FBF">
          <w:rPr>
            <w:lang w:val="de-DE"/>
          </w:rPr>
          <w:instrText xml:space="preserve"> ADDIN EN.CITE &lt;EndNote&gt;&lt;Cite&gt;&lt;Author&gt;Hao&lt;/Author&gt;&lt;Year&gt;2007&lt;/Year&gt;&lt;RecNum&gt;53384&lt;/RecNum&gt;&lt;DisplayText&gt;&lt;style face="superscript"&gt;8&lt;/style&gt;&lt;/DisplayText&gt;&lt;record&gt;&lt;rec-number&gt;53384&lt;/rec-number&gt;&lt;foreign-keys&gt;&lt;key app="EN" db-id="zssrt05ea5a9vvew0zqpxsscdsp2x55xwt99"&gt;53384&lt;/key&gt;&lt;/foreign-keys&gt;&lt;ref-type name="Journal Article"&gt;17&lt;/ref-type&gt;&lt;contributors&gt;&lt;authors&gt;&lt;author&gt;Hao, Xin&lt;/author&gt;&lt;/authors&gt;&lt;/contributors&gt;&lt;titles&gt;&lt;title&gt;Monkey research in China: developing a natural resource&lt;/title&gt;&lt;secondary-title&gt;Cell&lt;/secondary-title&gt;&lt;/titles&gt;&lt;periodical&gt;&lt;full-title&gt;Cell&lt;/full-title&gt;&lt;/periodical&gt;&lt;pages&gt;1033-1036&lt;/pages&gt;&lt;volume&gt;129&lt;/volume&gt;&lt;number&gt;6&lt;/number&gt;&lt;dates&gt;&lt;year&gt;2007&lt;/year&gt;&lt;/dates&gt;&lt;isbn&gt;0092-8674&lt;/isbn&gt;&lt;urls&gt;&lt;/urls&gt;&lt;/record&gt;&lt;/Cite&gt;&lt;/EndNote&gt;</w:instrText>
        </w:r>
        <w:r w:rsidRPr="00BD4FBF">
          <w:rPr>
            <w:lang w:val="de-DE"/>
          </w:rPr>
          <w:fldChar w:fldCharType="separate"/>
        </w:r>
        <w:r w:rsidRPr="00BD4FBF">
          <w:rPr>
            <w:noProof/>
            <w:vertAlign w:val="superscript"/>
            <w:lang w:val="de-DE"/>
          </w:rPr>
          <w:t>8</w:t>
        </w:r>
        <w:r w:rsidRPr="00BD4FBF">
          <w:rPr>
            <w:lang w:val="de-DE"/>
          </w:rPr>
          <w:fldChar w:fldCharType="end"/>
        </w:r>
      </w:hyperlink>
      <w:r w:rsidRPr="00BD4FBF">
        <w:rPr>
          <w:lang w:val="de-DE"/>
        </w:rPr>
        <w:t>, was die Weltbank als bittere Armut definiert. In Ostafrika starben im letzten Jahr Tausende an Hunger, was hätte vermieden werden können, wenn die internationale Gemeinschaft die frühen Warnungen beherzigt hätte, so die Aussage zweier führender britischer Hilfsorganisationen (</w:t>
      </w:r>
      <w:hyperlink r:id="rId10" w:history="1">
        <w:r w:rsidRPr="00BD4FBF">
          <w:rPr>
            <w:rStyle w:val="Hyperlink"/>
            <w:szCs w:val="20"/>
            <w:lang w:val="de-DE"/>
          </w:rPr>
          <w:t>Hunger</w:t>
        </w:r>
      </w:hyperlink>
      <w:r w:rsidRPr="00BD4FBF">
        <w:rPr>
          <w:rStyle w:val="Hyperlink"/>
          <w:szCs w:val="20"/>
          <w:lang w:val="de-DE"/>
        </w:rPr>
        <w:t>)</w:t>
      </w:r>
      <w:r w:rsidRPr="00BD4FBF">
        <w:rPr>
          <w:lang w:val="de-DE"/>
        </w:rPr>
        <w:t>. Kinder sind die sichtbarsten Opfer von Unterernährung. Verschmutztes Wasser tötet jeden Tag 5.000 Kinder, und fast zwei Millionen Kinder pro Jahr sterben, weil sauberes Wasser und angemessene sanitäre Einrichtungen fehlen, wobei die Armen dieser Welt häufig mehr für ihr Wasser zahlen als die Menschen in Großbritannien oder den USA (</w:t>
      </w:r>
      <w:hyperlink r:id="rId11" w:history="1">
        <w:r w:rsidRPr="00BD4FBF">
          <w:rPr>
            <w:rStyle w:val="Hyperlink"/>
            <w:szCs w:val="20"/>
            <w:lang w:val="de-DE"/>
          </w:rPr>
          <w:t>Water-Need</w:t>
        </w:r>
      </w:hyperlink>
      <w:r w:rsidRPr="00BD4FBF">
        <w:rPr>
          <w:szCs w:val="20"/>
          <w:lang w:val="de-DE"/>
        </w:rPr>
        <w:t xml:space="preserve">, </w:t>
      </w:r>
      <w:r w:rsidRPr="00BD4FBF">
        <w:rPr>
          <w:i/>
          <w:szCs w:val="20"/>
          <w:lang w:val="de-DE"/>
        </w:rPr>
        <w:t>dazu siehe auch die Abbildung am Ende dieses Dokuments</w:t>
      </w:r>
      <w:r w:rsidRPr="00BD4FBF">
        <w:rPr>
          <w:szCs w:val="20"/>
          <w:lang w:val="de-DE"/>
        </w:rPr>
        <w:t xml:space="preserve">). </w:t>
      </w:r>
    </w:p>
    <w:p w:rsidR="00467684" w:rsidRPr="00BD4FBF" w:rsidRDefault="00467684" w:rsidP="00BD4FBF">
      <w:pPr>
        <w:rPr>
          <w:szCs w:val="20"/>
          <w:lang w:val="de-DE"/>
        </w:rPr>
      </w:pPr>
      <w:r w:rsidRPr="00BD4FBF">
        <w:rPr>
          <w:szCs w:val="20"/>
          <w:lang w:val="de-DE"/>
        </w:rPr>
        <w:t xml:space="preserve">BUAV/SOKO deuten an, </w:t>
      </w:r>
      <w:r w:rsidRPr="00BD4FBF">
        <w:rPr>
          <w:b/>
          <w:szCs w:val="20"/>
          <w:lang w:val="de-DE"/>
        </w:rPr>
        <w:t>dass „das Institut“ die Notwendigkeit von Verbesserungen eingesehen habe</w:t>
      </w:r>
      <w:r w:rsidRPr="00BD4FBF">
        <w:rPr>
          <w:szCs w:val="20"/>
          <w:lang w:val="de-DE"/>
        </w:rPr>
        <w:t xml:space="preserve">. Um der Genauigkeit willen: Es war die Max-Planck-Gesellschaft und nicht das „Institut“, welche diese Notwendigkeit festgestellt hat, und bei den erwähnten „Verbesserungen“ handelt es sich um eine Aufstockung des Institutspersonals. Niemals wurde aufgeworfen, dass unsere Verfahren und Versuchsprotokolle nicht in Ordnung wären, oder dass unsere Tierpfleger nicht absolut professionell agieren würden. Wir sind der MPG für die zusätzliche finanzielle Unterstützung sehr dankbar, doch sind wir uns auch der Budgetbeschränkungen bewusst. Solche beschränkten Budgets existieren auch in Krankenhäusern, und auch das Wohlergehen von Menschen bedarf der Verbesserung. Dieser letzte Punkt scheint für die Tierschutzorganisationen von untergeordneter Bedeutung zu sein. </w:t>
      </w:r>
    </w:p>
    <w:p w:rsidR="00467684" w:rsidRPr="00BD4FBF" w:rsidRDefault="00467684" w:rsidP="00BD4FBF">
      <w:pPr>
        <w:rPr>
          <w:lang w:val="de-DE"/>
        </w:rPr>
      </w:pPr>
      <w:r w:rsidRPr="00BD4FBF">
        <w:rPr>
          <w:lang w:val="de-DE"/>
        </w:rPr>
        <w:t xml:space="preserve">Meiner Meinung nach haben die Aktivitäten extremer Tierschützer inzwischen einen Punkt erreicht, an dem alle Organisationen, die der Förderung der Wissenschaft dienen, sowie die Regierungen in den einzelnen Ländern sich für die Verteidigung der Wissenschaft stark machen müssen. Geschieht das nicht, könnte das die Grundlagenforschung weltweit gefährden. Behauptungen wie die, dass Grundlagenforschung nutzlos sei, oder dass diese Art der Forschung niemals etwas zum wissenschaftlichen Fortschritt beigetragen habe, müsste man nicht erwidern, würden sie nicht so leicht von einer unkritischen Öffentlichkeit für bare Münze genommen, und ließen sich damit nicht so einfach Spenden eintreiben. Tierversuche sind unverzichtbar im Interesse einer gesunden Gesellschaft, und Tierversuche bringen Risiken und ein gewisses Maß an Unannehmlichkeiten mit sich, doch muss beides objektiv gegen den Nutzen dieser Forschung abgewogen werden. Welche Gesellschaft kann menschliches Leid zugunsten des Wohlbefindens von Mäusen ignorieren? Wenn der letztendliche Gewinn für kranke Menschen nicht als das höhere Gut anzusehen ist, dann sollten wir tatsächlich aufhören, Wissenschaft und Forschung zu betreiben. </w:t>
      </w:r>
    </w:p>
    <w:p w:rsidR="00467684" w:rsidRPr="00BD4FBF" w:rsidRDefault="00467684" w:rsidP="00BD4FBF">
      <w:pPr>
        <w:rPr>
          <w:szCs w:val="20"/>
          <w:lang w:val="de-DE"/>
        </w:rPr>
      </w:pPr>
    </w:p>
    <w:p w:rsidR="00467684" w:rsidRPr="006C3F05" w:rsidRDefault="00467684" w:rsidP="00BD4FBF">
      <w:pPr>
        <w:pStyle w:val="Heading2"/>
      </w:pPr>
      <w:r w:rsidRPr="006C3F05">
        <w:t>Literatur</w:t>
      </w:r>
    </w:p>
    <w:p w:rsidR="00467684" w:rsidRPr="006C3F05" w:rsidRDefault="00467684" w:rsidP="00BD4FBF">
      <w:pPr>
        <w:pStyle w:val="EndNoteBibliography"/>
        <w:spacing w:after="0"/>
        <w:ind w:left="720" w:hanging="720"/>
      </w:pPr>
      <w:r w:rsidRPr="006C3F05">
        <w:fldChar w:fldCharType="begin"/>
      </w:r>
      <w:r w:rsidRPr="006C3F05">
        <w:instrText xml:space="preserve"> ADDIN EN.REFLIST </w:instrText>
      </w:r>
      <w:r w:rsidRPr="006C3F05">
        <w:fldChar w:fldCharType="separate"/>
      </w:r>
      <w:r w:rsidRPr="006C3F05">
        <w:t>1</w:t>
      </w:r>
      <w:r w:rsidRPr="006C3F05">
        <w:tab/>
        <w:t xml:space="preserve">Logothetis, N. K. What we can do and what we cannot do with fMRI. </w:t>
      </w:r>
      <w:r w:rsidRPr="006C3F05">
        <w:rPr>
          <w:i/>
        </w:rPr>
        <w:t>Nature</w:t>
      </w:r>
      <w:r w:rsidRPr="006C3F05">
        <w:t xml:space="preserve"> </w:t>
      </w:r>
      <w:r w:rsidRPr="006C3F05">
        <w:rPr>
          <w:b/>
        </w:rPr>
        <w:t>453</w:t>
      </w:r>
      <w:r w:rsidRPr="006C3F05">
        <w:t>, 869-878, doi:10.1038/nature06976 (2008).</w:t>
      </w:r>
    </w:p>
    <w:p w:rsidR="00467684" w:rsidRPr="006C3F05" w:rsidRDefault="00467684" w:rsidP="00BD4FBF">
      <w:pPr>
        <w:pStyle w:val="EndNoteBibliography"/>
        <w:spacing w:after="0"/>
        <w:ind w:left="720" w:hanging="720"/>
      </w:pPr>
      <w:r w:rsidRPr="006C3F05">
        <w:t>2</w:t>
      </w:r>
      <w:r w:rsidRPr="006C3F05">
        <w:tab/>
        <w:t xml:space="preserve">Logothetis, N. K., Pauls, J. M., Augath, M. A., Trinath, T. &amp; Oeltermann, A. Neurophysiological investigation of the basis of the fMRI signal. </w:t>
      </w:r>
      <w:r w:rsidRPr="006C3F05">
        <w:rPr>
          <w:i/>
        </w:rPr>
        <w:t>Nature</w:t>
      </w:r>
      <w:r w:rsidRPr="006C3F05">
        <w:t xml:space="preserve"> </w:t>
      </w:r>
      <w:r w:rsidRPr="006C3F05">
        <w:rPr>
          <w:b/>
        </w:rPr>
        <w:t>412</w:t>
      </w:r>
      <w:r w:rsidRPr="006C3F05">
        <w:t>, 150-157, doi:10.1038/35084005 (2001).</w:t>
      </w:r>
    </w:p>
    <w:p w:rsidR="00467684" w:rsidRPr="006C3F05" w:rsidRDefault="00467684" w:rsidP="00BD4FBF">
      <w:pPr>
        <w:pStyle w:val="EndNoteBibliography"/>
        <w:spacing w:after="0"/>
        <w:ind w:left="720" w:hanging="720"/>
      </w:pPr>
      <w:r w:rsidRPr="006C3F05">
        <w:t>3</w:t>
      </w:r>
      <w:r w:rsidRPr="006C3F05">
        <w:tab/>
        <w:t>Logothetis, N. K.</w:t>
      </w:r>
      <w:r w:rsidRPr="006C3F05">
        <w:rPr>
          <w:i/>
        </w:rPr>
        <w:t xml:space="preserve"> et al.</w:t>
      </w:r>
      <w:r w:rsidRPr="006C3F05">
        <w:t xml:space="preserve"> Hippocampal-cortical interaction during periods of subcortical silence. </w:t>
      </w:r>
      <w:r w:rsidRPr="006C3F05">
        <w:rPr>
          <w:i/>
        </w:rPr>
        <w:t>Nature</w:t>
      </w:r>
      <w:r w:rsidRPr="006C3F05">
        <w:t xml:space="preserve"> </w:t>
      </w:r>
      <w:r w:rsidRPr="006C3F05">
        <w:rPr>
          <w:b/>
        </w:rPr>
        <w:t>491</w:t>
      </w:r>
      <w:r w:rsidRPr="006C3F05">
        <w:t>, 547-553, doi:Doi 10.1038/Nature11618 (2012).</w:t>
      </w:r>
    </w:p>
    <w:p w:rsidR="00467684" w:rsidRPr="006C3F05" w:rsidRDefault="00467684" w:rsidP="00BD4FBF">
      <w:pPr>
        <w:pStyle w:val="EndNoteBibliography"/>
        <w:spacing w:after="0"/>
        <w:ind w:left="720" w:hanging="720"/>
      </w:pPr>
      <w:r w:rsidRPr="006C3F05">
        <w:t>4</w:t>
      </w:r>
      <w:r w:rsidRPr="006C3F05">
        <w:tab/>
        <w:t>Schroder, S.</w:t>
      </w:r>
      <w:r w:rsidRPr="006C3F05">
        <w:rPr>
          <w:i/>
        </w:rPr>
        <w:t xml:space="preserve"> et al.</w:t>
      </w:r>
      <w:r w:rsidRPr="006C3F05">
        <w:t xml:space="preserve"> Do neurologists in Germany adhere to the national Parkinson's disease guideline? </w:t>
      </w:r>
      <w:r w:rsidRPr="006C3F05">
        <w:rPr>
          <w:i/>
        </w:rPr>
        <w:t>Neuropsychiatric disease and treatment</w:t>
      </w:r>
      <w:r w:rsidRPr="006C3F05">
        <w:t xml:space="preserve"> </w:t>
      </w:r>
      <w:r w:rsidRPr="006C3F05">
        <w:rPr>
          <w:b/>
        </w:rPr>
        <w:t>7</w:t>
      </w:r>
      <w:r w:rsidRPr="006C3F05">
        <w:t>, 103-110, doi:10.2147/NDT.S8895 (2011).</w:t>
      </w:r>
    </w:p>
    <w:p w:rsidR="00467684" w:rsidRPr="006C3F05" w:rsidRDefault="00467684" w:rsidP="00BD4FBF">
      <w:pPr>
        <w:pStyle w:val="EndNoteBibliography"/>
        <w:spacing w:after="0"/>
        <w:ind w:left="720" w:hanging="720"/>
      </w:pPr>
      <w:r w:rsidRPr="006C3F05">
        <w:t>5</w:t>
      </w:r>
      <w:r w:rsidRPr="006C3F05">
        <w:tab/>
        <w:t xml:space="preserve">Binder, D. K., Rau, G. &amp; Starr, P. A. Hemorrhagic complications of microelectrode-guided deep brain stimulation. </w:t>
      </w:r>
      <w:r w:rsidRPr="006C3F05">
        <w:rPr>
          <w:i/>
        </w:rPr>
        <w:t>Stereotact Funct Neurosurg</w:t>
      </w:r>
      <w:r w:rsidRPr="006C3F05">
        <w:t xml:space="preserve"> </w:t>
      </w:r>
      <w:r w:rsidRPr="006C3F05">
        <w:rPr>
          <w:b/>
        </w:rPr>
        <w:t>80</w:t>
      </w:r>
      <w:r w:rsidRPr="006C3F05">
        <w:t>, 28-31, doi:75156 (2003).</w:t>
      </w:r>
    </w:p>
    <w:p w:rsidR="00467684" w:rsidRPr="006C3F05" w:rsidRDefault="00467684" w:rsidP="00BD4FBF">
      <w:pPr>
        <w:pStyle w:val="EndNoteBibliography"/>
        <w:spacing w:after="0"/>
        <w:ind w:left="720" w:hanging="720"/>
      </w:pPr>
      <w:r w:rsidRPr="006C3F05">
        <w:t>6</w:t>
      </w:r>
      <w:r w:rsidRPr="006C3F05">
        <w:tab/>
        <w:t xml:space="preserve">Lyons, K. E. &amp; Pahwa, R. Deep brain stimulation in Parkinson's disease. </w:t>
      </w:r>
      <w:r w:rsidRPr="006C3F05">
        <w:rPr>
          <w:i/>
        </w:rPr>
        <w:t>Curr Neurol Neurosci Rep</w:t>
      </w:r>
      <w:r w:rsidRPr="006C3F05">
        <w:t xml:space="preserve"> </w:t>
      </w:r>
      <w:r w:rsidRPr="006C3F05">
        <w:rPr>
          <w:b/>
        </w:rPr>
        <w:t>4</w:t>
      </w:r>
      <w:r w:rsidRPr="006C3F05">
        <w:t>, 290-295 (2004).</w:t>
      </w:r>
    </w:p>
    <w:p w:rsidR="00467684" w:rsidRPr="006C3F05" w:rsidRDefault="00467684" w:rsidP="00BD4FBF">
      <w:pPr>
        <w:pStyle w:val="EndNoteBibliography"/>
        <w:spacing w:after="0"/>
        <w:ind w:left="720" w:hanging="720"/>
      </w:pPr>
      <w:r w:rsidRPr="006C3F05">
        <w:t>7</w:t>
      </w:r>
      <w:r w:rsidRPr="006C3F05">
        <w:tab/>
        <w:t xml:space="preserve">Logothetis, N. K., Guggenberger, H., Peled, S. &amp; Pauls, J. M. Functional imaging of the monkey brain. </w:t>
      </w:r>
      <w:r w:rsidRPr="006C3F05">
        <w:rPr>
          <w:i/>
        </w:rPr>
        <w:t>Nature Neuroscience</w:t>
      </w:r>
      <w:r w:rsidRPr="006C3F05">
        <w:t xml:space="preserve"> </w:t>
      </w:r>
      <w:r w:rsidRPr="006C3F05">
        <w:rPr>
          <w:b/>
        </w:rPr>
        <w:t>2</w:t>
      </w:r>
      <w:r w:rsidRPr="006C3F05">
        <w:t>, 555-562, doi:10.1038/9210 (1999).</w:t>
      </w:r>
    </w:p>
    <w:p w:rsidR="00467684" w:rsidRPr="008A6A23" w:rsidRDefault="00467684" w:rsidP="00BD4FBF">
      <w:pPr>
        <w:pStyle w:val="EndNoteBibliography"/>
        <w:ind w:left="720" w:hanging="720"/>
      </w:pPr>
      <w:r w:rsidRPr="006C3F05">
        <w:t>8</w:t>
      </w:r>
      <w:r w:rsidRPr="006C3F05">
        <w:tab/>
        <w:t xml:space="preserve">Hao, X. Monkey research in China: developing a natural resource. </w:t>
      </w:r>
      <w:r w:rsidRPr="008A6A23">
        <w:rPr>
          <w:i/>
        </w:rPr>
        <w:t>Cell</w:t>
      </w:r>
      <w:r w:rsidRPr="008A6A23">
        <w:t xml:space="preserve"> </w:t>
      </w:r>
      <w:r w:rsidRPr="008A6A23">
        <w:rPr>
          <w:b/>
        </w:rPr>
        <w:t>129</w:t>
      </w:r>
      <w:r w:rsidRPr="008A6A23">
        <w:t>, 1033-1036 (2007).</w:t>
      </w:r>
    </w:p>
    <w:p w:rsidR="00467684" w:rsidRDefault="00467684" w:rsidP="00BD4FBF">
      <w:pPr>
        <w:sectPr w:rsidR="00467684" w:rsidSect="002E3260">
          <w:footerReference w:type="default" r:id="rId12"/>
          <w:pgSz w:w="12240" w:h="15840"/>
          <w:pgMar w:top="1008" w:right="1440" w:bottom="1008" w:left="1440" w:header="708" w:footer="288" w:gutter="0"/>
          <w:cols w:space="708"/>
          <w:docGrid w:linePitch="360"/>
        </w:sectPr>
      </w:pPr>
      <w:r w:rsidRPr="006C3F05">
        <w:fldChar w:fldCharType="end"/>
      </w:r>
    </w:p>
    <w:p w:rsidR="00467684" w:rsidRDefault="00467684" w:rsidP="00BD4FBF">
      <w:pPr>
        <w:spacing w:after="200" w:line="276" w:lineRule="auto"/>
        <w:jc w:val="left"/>
      </w:pPr>
    </w:p>
    <w:p w:rsidR="00467684" w:rsidRDefault="00467684" w:rsidP="00312B21"/>
    <w:sectPr w:rsidR="00467684" w:rsidSect="00312B21">
      <w:footerReference w:type="default" r:id="rId13"/>
      <w:pgSz w:w="12240" w:h="15840"/>
      <w:pgMar w:top="1008" w:right="1440" w:bottom="1008" w:left="1440" w:header="708" w:footer="28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7684" w:rsidRDefault="00467684" w:rsidP="002552AF">
      <w:pPr>
        <w:spacing w:after="0" w:line="240" w:lineRule="auto"/>
      </w:pPr>
      <w:r>
        <w:separator/>
      </w:r>
    </w:p>
  </w:endnote>
  <w:endnote w:type="continuationSeparator" w:id="0">
    <w:p w:rsidR="00467684" w:rsidRDefault="00467684" w:rsidP="002552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7684" w:rsidRDefault="00467684">
    <w:pPr>
      <w:pStyle w:val="Footer"/>
      <w:jc w:val="right"/>
    </w:pPr>
    <w:r>
      <w:t xml:space="preserve">Page | </w:t>
    </w:r>
    <w:r w:rsidR="00D761FF">
      <w:fldChar w:fldCharType="begin"/>
    </w:r>
    <w:r w:rsidR="00D761FF">
      <w:instrText xml:space="preserve"> PAGE   \* MERGEFORMAT </w:instrText>
    </w:r>
    <w:r w:rsidR="00D761FF">
      <w:fldChar w:fldCharType="separate"/>
    </w:r>
    <w:r w:rsidR="00D761FF">
      <w:rPr>
        <w:noProof/>
      </w:rPr>
      <w:t>1</w:t>
    </w:r>
    <w:r w:rsidR="00D761FF">
      <w:rPr>
        <w:noProof/>
      </w:rPr>
      <w:fldChar w:fldCharType="end"/>
    </w:r>
    <w:r>
      <w:t xml:space="preserve"> </w:t>
    </w:r>
  </w:p>
  <w:p w:rsidR="00467684" w:rsidRDefault="0046768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7684" w:rsidRDefault="00467684">
    <w:pPr>
      <w:pStyle w:val="Footer"/>
      <w:jc w:val="right"/>
    </w:pPr>
    <w:r>
      <w:t xml:space="preserve">Page | </w:t>
    </w:r>
    <w:r w:rsidR="00D761FF">
      <w:fldChar w:fldCharType="begin"/>
    </w:r>
    <w:r w:rsidR="00D761FF">
      <w:instrText xml:space="preserve"> PAGE   \* MERGEFORMAT </w:instrText>
    </w:r>
    <w:r w:rsidR="00D761FF">
      <w:fldChar w:fldCharType="separate"/>
    </w:r>
    <w:r w:rsidR="00D761FF">
      <w:rPr>
        <w:noProof/>
      </w:rPr>
      <w:t>10</w:t>
    </w:r>
    <w:r w:rsidR="00D761FF">
      <w:rPr>
        <w:noProof/>
      </w:rPr>
      <w:fldChar w:fldCharType="end"/>
    </w:r>
    <w:r>
      <w:t xml:space="preserve"> </w:t>
    </w:r>
  </w:p>
  <w:p w:rsidR="00467684" w:rsidRDefault="0046768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7684" w:rsidRDefault="00467684" w:rsidP="002552AF">
      <w:pPr>
        <w:spacing w:after="0" w:line="240" w:lineRule="auto"/>
      </w:pPr>
      <w:r>
        <w:separator/>
      </w:r>
    </w:p>
  </w:footnote>
  <w:footnote w:type="continuationSeparator" w:id="0">
    <w:p w:rsidR="00467684" w:rsidRDefault="00467684" w:rsidP="002552A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0A5C66"/>
    <w:multiLevelType w:val="hybridMultilevel"/>
    <w:tmpl w:val="225479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DF1BB5"/>
    <w:multiLevelType w:val="hybridMultilevel"/>
    <w:tmpl w:val="E5E06940"/>
    <w:lvl w:ilvl="0" w:tplc="04090001">
      <w:start w:val="1"/>
      <w:numFmt w:val="bullet"/>
      <w:lvlText w:val=""/>
      <w:lvlJc w:val="left"/>
      <w:pPr>
        <w:tabs>
          <w:tab w:val="num" w:pos="720"/>
        </w:tabs>
        <w:ind w:left="720" w:hanging="360"/>
      </w:pPr>
      <w:rPr>
        <w:rFonts w:ascii="Symbol" w:hAnsi="Symbol" w:hint="default"/>
      </w:rPr>
    </w:lvl>
    <w:lvl w:ilvl="1" w:tplc="9CC6D140">
      <w:start w:val="1"/>
      <w:numFmt w:val="bullet"/>
      <w:lvlText w:val=""/>
      <w:lvlJc w:val="left"/>
      <w:pPr>
        <w:tabs>
          <w:tab w:val="num" w:pos="1440"/>
        </w:tabs>
        <w:ind w:left="1440" w:hanging="360"/>
      </w:pPr>
      <w:rPr>
        <w:rFonts w:ascii="Wingdings" w:hAnsi="Wingdings" w:hint="default"/>
      </w:rPr>
    </w:lvl>
    <w:lvl w:ilvl="2" w:tplc="34BECE42">
      <w:start w:val="1"/>
      <w:numFmt w:val="bullet"/>
      <w:lvlText w:val=""/>
      <w:lvlJc w:val="left"/>
      <w:pPr>
        <w:tabs>
          <w:tab w:val="num" w:pos="2160"/>
        </w:tabs>
        <w:ind w:left="2160" w:hanging="360"/>
      </w:pPr>
      <w:rPr>
        <w:rFonts w:ascii="Wingdings" w:hAnsi="Wingdings" w:hint="default"/>
      </w:rPr>
    </w:lvl>
    <w:lvl w:ilvl="3" w:tplc="56E0219E">
      <w:start w:val="1"/>
      <w:numFmt w:val="bullet"/>
      <w:lvlText w:val=""/>
      <w:lvlJc w:val="left"/>
      <w:pPr>
        <w:tabs>
          <w:tab w:val="num" w:pos="2880"/>
        </w:tabs>
        <w:ind w:left="2880" w:hanging="360"/>
      </w:pPr>
      <w:rPr>
        <w:rFonts w:ascii="Wingdings" w:hAnsi="Wingdings" w:hint="default"/>
      </w:rPr>
    </w:lvl>
    <w:lvl w:ilvl="4" w:tplc="0D42F546">
      <w:start w:val="1"/>
      <w:numFmt w:val="bullet"/>
      <w:lvlText w:val=""/>
      <w:lvlJc w:val="left"/>
      <w:pPr>
        <w:tabs>
          <w:tab w:val="num" w:pos="3600"/>
        </w:tabs>
        <w:ind w:left="3600" w:hanging="360"/>
      </w:pPr>
      <w:rPr>
        <w:rFonts w:ascii="Wingdings" w:hAnsi="Wingdings" w:hint="default"/>
      </w:rPr>
    </w:lvl>
    <w:lvl w:ilvl="5" w:tplc="30884256">
      <w:start w:val="1"/>
      <w:numFmt w:val="bullet"/>
      <w:lvlText w:val=""/>
      <w:lvlJc w:val="left"/>
      <w:pPr>
        <w:tabs>
          <w:tab w:val="num" w:pos="4320"/>
        </w:tabs>
        <w:ind w:left="4320" w:hanging="360"/>
      </w:pPr>
      <w:rPr>
        <w:rFonts w:ascii="Wingdings" w:hAnsi="Wingdings" w:hint="default"/>
      </w:rPr>
    </w:lvl>
    <w:lvl w:ilvl="6" w:tplc="63485C82">
      <w:start w:val="1"/>
      <w:numFmt w:val="bullet"/>
      <w:lvlText w:val=""/>
      <w:lvlJc w:val="left"/>
      <w:pPr>
        <w:tabs>
          <w:tab w:val="num" w:pos="5040"/>
        </w:tabs>
        <w:ind w:left="5040" w:hanging="360"/>
      </w:pPr>
      <w:rPr>
        <w:rFonts w:ascii="Wingdings" w:hAnsi="Wingdings" w:hint="default"/>
      </w:rPr>
    </w:lvl>
    <w:lvl w:ilvl="7" w:tplc="5CB2B192">
      <w:start w:val="1"/>
      <w:numFmt w:val="bullet"/>
      <w:lvlText w:val=""/>
      <w:lvlJc w:val="left"/>
      <w:pPr>
        <w:tabs>
          <w:tab w:val="num" w:pos="5760"/>
        </w:tabs>
        <w:ind w:left="5760" w:hanging="360"/>
      </w:pPr>
      <w:rPr>
        <w:rFonts w:ascii="Wingdings" w:hAnsi="Wingdings" w:hint="default"/>
      </w:rPr>
    </w:lvl>
    <w:lvl w:ilvl="8" w:tplc="D4B0F3A8">
      <w:start w:val="1"/>
      <w:numFmt w:val="bullet"/>
      <w:lvlText w:val=""/>
      <w:lvlJc w:val="left"/>
      <w:pPr>
        <w:tabs>
          <w:tab w:val="num" w:pos="6480"/>
        </w:tabs>
        <w:ind w:left="6480" w:hanging="360"/>
      </w:pPr>
      <w:rPr>
        <w:rFonts w:ascii="Wingdings" w:hAnsi="Wingdings" w:hint="default"/>
      </w:rPr>
    </w:lvl>
  </w:abstractNum>
  <w:abstractNum w:abstractNumId="2">
    <w:nsid w:val="1489719C"/>
    <w:multiLevelType w:val="hybridMultilevel"/>
    <w:tmpl w:val="8DDCB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5F47731"/>
    <w:multiLevelType w:val="hybridMultilevel"/>
    <w:tmpl w:val="D7626A4E"/>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nsid w:val="20146258"/>
    <w:multiLevelType w:val="hybridMultilevel"/>
    <w:tmpl w:val="403834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1D47C59"/>
    <w:multiLevelType w:val="hybridMultilevel"/>
    <w:tmpl w:val="873A4C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272325F"/>
    <w:multiLevelType w:val="hybridMultilevel"/>
    <w:tmpl w:val="4A74B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BED6F76"/>
    <w:multiLevelType w:val="hybridMultilevel"/>
    <w:tmpl w:val="C8BE9EB6"/>
    <w:lvl w:ilvl="0" w:tplc="B734D434">
      <w:start w:val="1"/>
      <w:numFmt w:val="decimal"/>
      <w:pStyle w:val="Heading3"/>
      <w:lvlText w:val="%1."/>
      <w:lvlJc w:val="right"/>
      <w:pPr>
        <w:ind w:left="720" w:hanging="360"/>
      </w:pPr>
      <w:rPr>
        <w:rFonts w:cs="Times New Roman" w:hint="default"/>
        <w:b/>
        <w:i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nsid w:val="31053A24"/>
    <w:multiLevelType w:val="hybridMultilevel"/>
    <w:tmpl w:val="4C2A4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363137A3"/>
    <w:multiLevelType w:val="hybridMultilevel"/>
    <w:tmpl w:val="42CCF0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0C965E7"/>
    <w:multiLevelType w:val="hybridMultilevel"/>
    <w:tmpl w:val="35A679C8"/>
    <w:lvl w:ilvl="0" w:tplc="0409000F">
      <w:start w:val="1"/>
      <w:numFmt w:val="decimal"/>
      <w:lvlText w:val="%1."/>
      <w:lvlJc w:val="left"/>
      <w:pPr>
        <w:ind w:left="720" w:hanging="360"/>
      </w:pPr>
      <w:rPr>
        <w:rFont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AF7705A"/>
    <w:multiLevelType w:val="hybridMultilevel"/>
    <w:tmpl w:val="08E22A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45C6385"/>
    <w:multiLevelType w:val="multilevel"/>
    <w:tmpl w:val="4E8A6BA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3">
    <w:nsid w:val="6A8424D5"/>
    <w:multiLevelType w:val="hybridMultilevel"/>
    <w:tmpl w:val="8B60839E"/>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4">
    <w:nsid w:val="74077C4B"/>
    <w:multiLevelType w:val="hybridMultilevel"/>
    <w:tmpl w:val="5178BD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5">
    <w:nsid w:val="78E66741"/>
    <w:multiLevelType w:val="hybridMultilevel"/>
    <w:tmpl w:val="FD4C01C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2"/>
  </w:num>
  <w:num w:numId="2">
    <w:abstractNumId w:val="9"/>
  </w:num>
  <w:num w:numId="3">
    <w:abstractNumId w:val="12"/>
  </w:num>
  <w:num w:numId="4">
    <w:abstractNumId w:val="15"/>
  </w:num>
  <w:num w:numId="5">
    <w:abstractNumId w:val="3"/>
  </w:num>
  <w:num w:numId="6">
    <w:abstractNumId w:val="14"/>
  </w:num>
  <w:num w:numId="7">
    <w:abstractNumId w:val="1"/>
  </w:num>
  <w:num w:numId="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6"/>
  </w:num>
  <w:num w:numId="11">
    <w:abstractNumId w:val="10"/>
  </w:num>
  <w:num w:numId="12">
    <w:abstractNumId w:val="0"/>
  </w:num>
  <w:num w:numId="13">
    <w:abstractNumId w:val="11"/>
  </w:num>
  <w:num w:numId="14">
    <w:abstractNumId w:val="4"/>
  </w:num>
  <w:num w:numId="15">
    <w:abstractNumId w:val="5"/>
  </w:num>
  <w:num w:numId="16">
    <w:abstractNumId w:val="8"/>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displayBackgroundShape/>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zssrt05ea5a9vvew0zqpxsscdsp2x55xwt99&quot;&gt;Neuroscience&lt;record-ids&gt;&lt;item&gt;49193&lt;/item&gt;&lt;item&gt;49226&lt;/item&gt;&lt;item&gt;49601&lt;/item&gt;&lt;item&gt;50587&lt;/item&gt;&lt;item&gt;53349&lt;/item&gt;&lt;item&gt;53367&lt;/item&gt;&lt;item&gt;53380&lt;/item&gt;&lt;item&gt;53384&lt;/item&gt;&lt;/record-ids&gt;&lt;/item&gt;&lt;/Libraries&gt;"/>
  </w:docVars>
  <w:rsids>
    <w:rsidRoot w:val="00A23AD0"/>
    <w:rsid w:val="0000558C"/>
    <w:rsid w:val="00014749"/>
    <w:rsid w:val="00020D45"/>
    <w:rsid w:val="00022A17"/>
    <w:rsid w:val="00024471"/>
    <w:rsid w:val="0002550D"/>
    <w:rsid w:val="00032E2B"/>
    <w:rsid w:val="000624A7"/>
    <w:rsid w:val="00074341"/>
    <w:rsid w:val="000763E2"/>
    <w:rsid w:val="0008791F"/>
    <w:rsid w:val="00090778"/>
    <w:rsid w:val="000940BD"/>
    <w:rsid w:val="000A354E"/>
    <w:rsid w:val="000B3B2C"/>
    <w:rsid w:val="000C1F81"/>
    <w:rsid w:val="000C71F7"/>
    <w:rsid w:val="000E37A5"/>
    <w:rsid w:val="000E5972"/>
    <w:rsid w:val="000E5B15"/>
    <w:rsid w:val="000F0B7A"/>
    <w:rsid w:val="000F283E"/>
    <w:rsid w:val="00106022"/>
    <w:rsid w:val="001107CE"/>
    <w:rsid w:val="00112D57"/>
    <w:rsid w:val="00123259"/>
    <w:rsid w:val="00140139"/>
    <w:rsid w:val="00146B5C"/>
    <w:rsid w:val="001604F1"/>
    <w:rsid w:val="00164D8A"/>
    <w:rsid w:val="001709B1"/>
    <w:rsid w:val="00175404"/>
    <w:rsid w:val="00180794"/>
    <w:rsid w:val="00182146"/>
    <w:rsid w:val="00192B55"/>
    <w:rsid w:val="0019500F"/>
    <w:rsid w:val="001A1DA9"/>
    <w:rsid w:val="001A2273"/>
    <w:rsid w:val="001B0CA8"/>
    <w:rsid w:val="001B66B1"/>
    <w:rsid w:val="001B6A89"/>
    <w:rsid w:val="001C5B37"/>
    <w:rsid w:val="001D2164"/>
    <w:rsid w:val="001D3B1C"/>
    <w:rsid w:val="001D5CE1"/>
    <w:rsid w:val="001D75B6"/>
    <w:rsid w:val="001F4138"/>
    <w:rsid w:val="001F6131"/>
    <w:rsid w:val="001F659D"/>
    <w:rsid w:val="00203E9F"/>
    <w:rsid w:val="0021061A"/>
    <w:rsid w:val="002266AE"/>
    <w:rsid w:val="0023541C"/>
    <w:rsid w:val="00236580"/>
    <w:rsid w:val="00237913"/>
    <w:rsid w:val="00242FB2"/>
    <w:rsid w:val="0025241E"/>
    <w:rsid w:val="00254043"/>
    <w:rsid w:val="002552AF"/>
    <w:rsid w:val="00257AC0"/>
    <w:rsid w:val="0026188A"/>
    <w:rsid w:val="00277003"/>
    <w:rsid w:val="002852DB"/>
    <w:rsid w:val="00290E1A"/>
    <w:rsid w:val="002968DC"/>
    <w:rsid w:val="00296A5A"/>
    <w:rsid w:val="00297A94"/>
    <w:rsid w:val="002A14BA"/>
    <w:rsid w:val="002A2E43"/>
    <w:rsid w:val="002A467A"/>
    <w:rsid w:val="002A7D79"/>
    <w:rsid w:val="002B22EF"/>
    <w:rsid w:val="002B3A73"/>
    <w:rsid w:val="002B63D2"/>
    <w:rsid w:val="002C1E9B"/>
    <w:rsid w:val="002C2A82"/>
    <w:rsid w:val="002C55B6"/>
    <w:rsid w:val="002C5F89"/>
    <w:rsid w:val="002D15C2"/>
    <w:rsid w:val="002D54AC"/>
    <w:rsid w:val="002D6AC9"/>
    <w:rsid w:val="002E1AAE"/>
    <w:rsid w:val="002E3260"/>
    <w:rsid w:val="002E3CC2"/>
    <w:rsid w:val="00307EE8"/>
    <w:rsid w:val="00312B21"/>
    <w:rsid w:val="00313616"/>
    <w:rsid w:val="003329BA"/>
    <w:rsid w:val="003363DB"/>
    <w:rsid w:val="0033677B"/>
    <w:rsid w:val="003457BD"/>
    <w:rsid w:val="0036013D"/>
    <w:rsid w:val="003677D5"/>
    <w:rsid w:val="00370703"/>
    <w:rsid w:val="003715CD"/>
    <w:rsid w:val="0037175F"/>
    <w:rsid w:val="00373974"/>
    <w:rsid w:val="00375729"/>
    <w:rsid w:val="0037593C"/>
    <w:rsid w:val="00381483"/>
    <w:rsid w:val="0039289B"/>
    <w:rsid w:val="003A1754"/>
    <w:rsid w:val="003A2254"/>
    <w:rsid w:val="003A2BB9"/>
    <w:rsid w:val="003B3EDF"/>
    <w:rsid w:val="003B43BC"/>
    <w:rsid w:val="003C1E8A"/>
    <w:rsid w:val="003C2ED0"/>
    <w:rsid w:val="003E03BA"/>
    <w:rsid w:val="003E0F76"/>
    <w:rsid w:val="003E207A"/>
    <w:rsid w:val="003E396D"/>
    <w:rsid w:val="003E683B"/>
    <w:rsid w:val="003E6E96"/>
    <w:rsid w:val="003F28CD"/>
    <w:rsid w:val="00403219"/>
    <w:rsid w:val="004072FE"/>
    <w:rsid w:val="00434BE3"/>
    <w:rsid w:val="00434DCA"/>
    <w:rsid w:val="00435CD7"/>
    <w:rsid w:val="00443A8E"/>
    <w:rsid w:val="00446009"/>
    <w:rsid w:val="00447FD6"/>
    <w:rsid w:val="004517A1"/>
    <w:rsid w:val="00461D62"/>
    <w:rsid w:val="0046668D"/>
    <w:rsid w:val="00467684"/>
    <w:rsid w:val="00483B37"/>
    <w:rsid w:val="00485B00"/>
    <w:rsid w:val="00487189"/>
    <w:rsid w:val="0049072F"/>
    <w:rsid w:val="00493043"/>
    <w:rsid w:val="00497290"/>
    <w:rsid w:val="004A255C"/>
    <w:rsid w:val="004A3664"/>
    <w:rsid w:val="004A5897"/>
    <w:rsid w:val="004A6C2F"/>
    <w:rsid w:val="004B01E7"/>
    <w:rsid w:val="004B2440"/>
    <w:rsid w:val="004B795A"/>
    <w:rsid w:val="004C3694"/>
    <w:rsid w:val="004C6FA7"/>
    <w:rsid w:val="004E6AE3"/>
    <w:rsid w:val="004F70C4"/>
    <w:rsid w:val="005147BA"/>
    <w:rsid w:val="00520292"/>
    <w:rsid w:val="00523DBB"/>
    <w:rsid w:val="00524A1B"/>
    <w:rsid w:val="00533E80"/>
    <w:rsid w:val="00534AAC"/>
    <w:rsid w:val="00534AD5"/>
    <w:rsid w:val="005424BC"/>
    <w:rsid w:val="00554250"/>
    <w:rsid w:val="00554896"/>
    <w:rsid w:val="00555C00"/>
    <w:rsid w:val="00565B17"/>
    <w:rsid w:val="00565C8E"/>
    <w:rsid w:val="0056615B"/>
    <w:rsid w:val="00580ACD"/>
    <w:rsid w:val="005813CB"/>
    <w:rsid w:val="00581432"/>
    <w:rsid w:val="00591EE1"/>
    <w:rsid w:val="00593C20"/>
    <w:rsid w:val="00596376"/>
    <w:rsid w:val="00597B61"/>
    <w:rsid w:val="005A0E18"/>
    <w:rsid w:val="005A21F1"/>
    <w:rsid w:val="005A5512"/>
    <w:rsid w:val="005A5A6B"/>
    <w:rsid w:val="005B6C55"/>
    <w:rsid w:val="005D4F93"/>
    <w:rsid w:val="005E022C"/>
    <w:rsid w:val="005E16D0"/>
    <w:rsid w:val="005F5847"/>
    <w:rsid w:val="006056D4"/>
    <w:rsid w:val="006077F3"/>
    <w:rsid w:val="00612722"/>
    <w:rsid w:val="0061702B"/>
    <w:rsid w:val="0062138A"/>
    <w:rsid w:val="006252B4"/>
    <w:rsid w:val="0062550B"/>
    <w:rsid w:val="00631206"/>
    <w:rsid w:val="00633247"/>
    <w:rsid w:val="0064240A"/>
    <w:rsid w:val="006430AD"/>
    <w:rsid w:val="00644867"/>
    <w:rsid w:val="00644E9D"/>
    <w:rsid w:val="00651063"/>
    <w:rsid w:val="006575F7"/>
    <w:rsid w:val="0066596B"/>
    <w:rsid w:val="00667FBB"/>
    <w:rsid w:val="00672A26"/>
    <w:rsid w:val="00676CA4"/>
    <w:rsid w:val="00697933"/>
    <w:rsid w:val="006A7506"/>
    <w:rsid w:val="006B37E4"/>
    <w:rsid w:val="006B4EF7"/>
    <w:rsid w:val="006B557C"/>
    <w:rsid w:val="006C0544"/>
    <w:rsid w:val="006C2F22"/>
    <w:rsid w:val="006C3F05"/>
    <w:rsid w:val="006D1906"/>
    <w:rsid w:val="006D2690"/>
    <w:rsid w:val="006F1612"/>
    <w:rsid w:val="006F3CAC"/>
    <w:rsid w:val="006F5863"/>
    <w:rsid w:val="00700868"/>
    <w:rsid w:val="007060F8"/>
    <w:rsid w:val="0070631C"/>
    <w:rsid w:val="00717A7C"/>
    <w:rsid w:val="0072048D"/>
    <w:rsid w:val="00730EC2"/>
    <w:rsid w:val="0073248C"/>
    <w:rsid w:val="00732B11"/>
    <w:rsid w:val="00734882"/>
    <w:rsid w:val="00741487"/>
    <w:rsid w:val="00741DE8"/>
    <w:rsid w:val="00745BC4"/>
    <w:rsid w:val="00752018"/>
    <w:rsid w:val="00754E51"/>
    <w:rsid w:val="00765B47"/>
    <w:rsid w:val="0076730C"/>
    <w:rsid w:val="0078098F"/>
    <w:rsid w:val="007856D0"/>
    <w:rsid w:val="00786558"/>
    <w:rsid w:val="007869A3"/>
    <w:rsid w:val="00786F62"/>
    <w:rsid w:val="007902CD"/>
    <w:rsid w:val="0079146F"/>
    <w:rsid w:val="00792DDE"/>
    <w:rsid w:val="0079330A"/>
    <w:rsid w:val="007938EE"/>
    <w:rsid w:val="00793D67"/>
    <w:rsid w:val="007959D5"/>
    <w:rsid w:val="00796CEA"/>
    <w:rsid w:val="00797AC3"/>
    <w:rsid w:val="007A3B75"/>
    <w:rsid w:val="007B0DE4"/>
    <w:rsid w:val="007B1BAE"/>
    <w:rsid w:val="007B2596"/>
    <w:rsid w:val="007B3D1C"/>
    <w:rsid w:val="007B52B3"/>
    <w:rsid w:val="007B798A"/>
    <w:rsid w:val="007C0DE2"/>
    <w:rsid w:val="007C5114"/>
    <w:rsid w:val="007D5CD9"/>
    <w:rsid w:val="007E1B29"/>
    <w:rsid w:val="007E6E93"/>
    <w:rsid w:val="007F24D7"/>
    <w:rsid w:val="00802727"/>
    <w:rsid w:val="0080343F"/>
    <w:rsid w:val="00807F6F"/>
    <w:rsid w:val="0081350C"/>
    <w:rsid w:val="008238AF"/>
    <w:rsid w:val="00824840"/>
    <w:rsid w:val="00825204"/>
    <w:rsid w:val="00825EDB"/>
    <w:rsid w:val="0082736A"/>
    <w:rsid w:val="00830744"/>
    <w:rsid w:val="00833C09"/>
    <w:rsid w:val="00843C5F"/>
    <w:rsid w:val="0084527E"/>
    <w:rsid w:val="00845762"/>
    <w:rsid w:val="00845D18"/>
    <w:rsid w:val="008472A9"/>
    <w:rsid w:val="00850148"/>
    <w:rsid w:val="00853528"/>
    <w:rsid w:val="00857BF6"/>
    <w:rsid w:val="00857ECD"/>
    <w:rsid w:val="00870529"/>
    <w:rsid w:val="00873272"/>
    <w:rsid w:val="008733B6"/>
    <w:rsid w:val="00882522"/>
    <w:rsid w:val="0088524B"/>
    <w:rsid w:val="008860DB"/>
    <w:rsid w:val="008906E2"/>
    <w:rsid w:val="008967EC"/>
    <w:rsid w:val="00897AF9"/>
    <w:rsid w:val="008A6A23"/>
    <w:rsid w:val="008B4A75"/>
    <w:rsid w:val="008B5EC8"/>
    <w:rsid w:val="008C06A0"/>
    <w:rsid w:val="008C3B51"/>
    <w:rsid w:val="008C3E58"/>
    <w:rsid w:val="008C44B8"/>
    <w:rsid w:val="008C4E8D"/>
    <w:rsid w:val="008D01E4"/>
    <w:rsid w:val="008E46BF"/>
    <w:rsid w:val="008F027C"/>
    <w:rsid w:val="008F2F59"/>
    <w:rsid w:val="009030C6"/>
    <w:rsid w:val="00907F37"/>
    <w:rsid w:val="00914360"/>
    <w:rsid w:val="00914877"/>
    <w:rsid w:val="00915989"/>
    <w:rsid w:val="00917F89"/>
    <w:rsid w:val="00921230"/>
    <w:rsid w:val="00925709"/>
    <w:rsid w:val="00926E45"/>
    <w:rsid w:val="009333CE"/>
    <w:rsid w:val="009353CE"/>
    <w:rsid w:val="00935A39"/>
    <w:rsid w:val="00936695"/>
    <w:rsid w:val="00947B75"/>
    <w:rsid w:val="00950AB7"/>
    <w:rsid w:val="00952762"/>
    <w:rsid w:val="00962CB6"/>
    <w:rsid w:val="00967A78"/>
    <w:rsid w:val="00985F6A"/>
    <w:rsid w:val="00992805"/>
    <w:rsid w:val="009A47A1"/>
    <w:rsid w:val="009A70F8"/>
    <w:rsid w:val="009A7131"/>
    <w:rsid w:val="009B01E0"/>
    <w:rsid w:val="009C215B"/>
    <w:rsid w:val="009C27A2"/>
    <w:rsid w:val="009D1F94"/>
    <w:rsid w:val="009D24DF"/>
    <w:rsid w:val="009D33E1"/>
    <w:rsid w:val="009E1EC6"/>
    <w:rsid w:val="009E7D25"/>
    <w:rsid w:val="009F3BDE"/>
    <w:rsid w:val="009F49F2"/>
    <w:rsid w:val="009F5ADD"/>
    <w:rsid w:val="00A020E9"/>
    <w:rsid w:val="00A10055"/>
    <w:rsid w:val="00A1324D"/>
    <w:rsid w:val="00A2193A"/>
    <w:rsid w:val="00A23AD0"/>
    <w:rsid w:val="00A25052"/>
    <w:rsid w:val="00A26E06"/>
    <w:rsid w:val="00A31A92"/>
    <w:rsid w:val="00A36131"/>
    <w:rsid w:val="00A40033"/>
    <w:rsid w:val="00A46048"/>
    <w:rsid w:val="00A502D0"/>
    <w:rsid w:val="00A57160"/>
    <w:rsid w:val="00A67C19"/>
    <w:rsid w:val="00A708DD"/>
    <w:rsid w:val="00A75F55"/>
    <w:rsid w:val="00A76788"/>
    <w:rsid w:val="00A800C0"/>
    <w:rsid w:val="00A8641F"/>
    <w:rsid w:val="00A865C5"/>
    <w:rsid w:val="00A87D70"/>
    <w:rsid w:val="00A96B76"/>
    <w:rsid w:val="00AA0548"/>
    <w:rsid w:val="00AA1B36"/>
    <w:rsid w:val="00AA744E"/>
    <w:rsid w:val="00AA75B6"/>
    <w:rsid w:val="00AB459A"/>
    <w:rsid w:val="00AB5C27"/>
    <w:rsid w:val="00AC29A0"/>
    <w:rsid w:val="00AC5252"/>
    <w:rsid w:val="00AD53F0"/>
    <w:rsid w:val="00AE1872"/>
    <w:rsid w:val="00AE3A1F"/>
    <w:rsid w:val="00AF1FF6"/>
    <w:rsid w:val="00B07B93"/>
    <w:rsid w:val="00B10071"/>
    <w:rsid w:val="00B15A86"/>
    <w:rsid w:val="00B175EF"/>
    <w:rsid w:val="00B2118F"/>
    <w:rsid w:val="00B22FBC"/>
    <w:rsid w:val="00B266C9"/>
    <w:rsid w:val="00B27854"/>
    <w:rsid w:val="00B318E6"/>
    <w:rsid w:val="00B45873"/>
    <w:rsid w:val="00B504F7"/>
    <w:rsid w:val="00B50EFA"/>
    <w:rsid w:val="00B51436"/>
    <w:rsid w:val="00B5636E"/>
    <w:rsid w:val="00B64EE8"/>
    <w:rsid w:val="00B66722"/>
    <w:rsid w:val="00B7302D"/>
    <w:rsid w:val="00B76861"/>
    <w:rsid w:val="00B83160"/>
    <w:rsid w:val="00B8532A"/>
    <w:rsid w:val="00B8677C"/>
    <w:rsid w:val="00B95866"/>
    <w:rsid w:val="00B95EAB"/>
    <w:rsid w:val="00BA2032"/>
    <w:rsid w:val="00BB42D5"/>
    <w:rsid w:val="00BC19AF"/>
    <w:rsid w:val="00BC6C1B"/>
    <w:rsid w:val="00BD4D2C"/>
    <w:rsid w:val="00BD4FBF"/>
    <w:rsid w:val="00BF4EDC"/>
    <w:rsid w:val="00BF582D"/>
    <w:rsid w:val="00BF7E47"/>
    <w:rsid w:val="00C02783"/>
    <w:rsid w:val="00C04105"/>
    <w:rsid w:val="00C10F7C"/>
    <w:rsid w:val="00C12112"/>
    <w:rsid w:val="00C15E9D"/>
    <w:rsid w:val="00C16C82"/>
    <w:rsid w:val="00C24CE9"/>
    <w:rsid w:val="00C4551E"/>
    <w:rsid w:val="00C45797"/>
    <w:rsid w:val="00C5162A"/>
    <w:rsid w:val="00C6286C"/>
    <w:rsid w:val="00C6730E"/>
    <w:rsid w:val="00C67319"/>
    <w:rsid w:val="00C67D79"/>
    <w:rsid w:val="00C726E2"/>
    <w:rsid w:val="00C73677"/>
    <w:rsid w:val="00C747D0"/>
    <w:rsid w:val="00C82233"/>
    <w:rsid w:val="00C8584B"/>
    <w:rsid w:val="00C929D4"/>
    <w:rsid w:val="00C93963"/>
    <w:rsid w:val="00C94D87"/>
    <w:rsid w:val="00C953E0"/>
    <w:rsid w:val="00C977E4"/>
    <w:rsid w:val="00CA3A3E"/>
    <w:rsid w:val="00CA4D8F"/>
    <w:rsid w:val="00CB58A8"/>
    <w:rsid w:val="00CC232F"/>
    <w:rsid w:val="00CC437E"/>
    <w:rsid w:val="00CC6F28"/>
    <w:rsid w:val="00CD23A5"/>
    <w:rsid w:val="00CD59CC"/>
    <w:rsid w:val="00CD5D1B"/>
    <w:rsid w:val="00CD646D"/>
    <w:rsid w:val="00CE1925"/>
    <w:rsid w:val="00CE3BEB"/>
    <w:rsid w:val="00CE465D"/>
    <w:rsid w:val="00CE53CB"/>
    <w:rsid w:val="00CF1C97"/>
    <w:rsid w:val="00CF6C65"/>
    <w:rsid w:val="00D007FE"/>
    <w:rsid w:val="00D011FF"/>
    <w:rsid w:val="00D1362A"/>
    <w:rsid w:val="00D144A4"/>
    <w:rsid w:val="00D23176"/>
    <w:rsid w:val="00D2646B"/>
    <w:rsid w:val="00D41D96"/>
    <w:rsid w:val="00D462CC"/>
    <w:rsid w:val="00D57900"/>
    <w:rsid w:val="00D579AA"/>
    <w:rsid w:val="00D61105"/>
    <w:rsid w:val="00D75722"/>
    <w:rsid w:val="00D761FF"/>
    <w:rsid w:val="00D92932"/>
    <w:rsid w:val="00D93A50"/>
    <w:rsid w:val="00D97899"/>
    <w:rsid w:val="00DA31AA"/>
    <w:rsid w:val="00DA5DBB"/>
    <w:rsid w:val="00DB3157"/>
    <w:rsid w:val="00DB6043"/>
    <w:rsid w:val="00DC11CD"/>
    <w:rsid w:val="00DD0982"/>
    <w:rsid w:val="00DD70AD"/>
    <w:rsid w:val="00DE5BE2"/>
    <w:rsid w:val="00DE7AAA"/>
    <w:rsid w:val="00DF2839"/>
    <w:rsid w:val="00E02D70"/>
    <w:rsid w:val="00E10AEC"/>
    <w:rsid w:val="00E14F7E"/>
    <w:rsid w:val="00E165A0"/>
    <w:rsid w:val="00E204EA"/>
    <w:rsid w:val="00E347DC"/>
    <w:rsid w:val="00E50E76"/>
    <w:rsid w:val="00E61321"/>
    <w:rsid w:val="00E77A22"/>
    <w:rsid w:val="00E8354F"/>
    <w:rsid w:val="00E84281"/>
    <w:rsid w:val="00E92D39"/>
    <w:rsid w:val="00E97124"/>
    <w:rsid w:val="00EA3A15"/>
    <w:rsid w:val="00EA449C"/>
    <w:rsid w:val="00EA4DF8"/>
    <w:rsid w:val="00EA4E5D"/>
    <w:rsid w:val="00EB1108"/>
    <w:rsid w:val="00EB21F7"/>
    <w:rsid w:val="00EB61E4"/>
    <w:rsid w:val="00EC69CE"/>
    <w:rsid w:val="00EC6A67"/>
    <w:rsid w:val="00ED1584"/>
    <w:rsid w:val="00ED4D71"/>
    <w:rsid w:val="00EF0C1D"/>
    <w:rsid w:val="00EF3083"/>
    <w:rsid w:val="00EF5A75"/>
    <w:rsid w:val="00EF69DD"/>
    <w:rsid w:val="00F00B03"/>
    <w:rsid w:val="00F03DB2"/>
    <w:rsid w:val="00F049B0"/>
    <w:rsid w:val="00F274C9"/>
    <w:rsid w:val="00F33472"/>
    <w:rsid w:val="00F51DFE"/>
    <w:rsid w:val="00F52C69"/>
    <w:rsid w:val="00F548EE"/>
    <w:rsid w:val="00F55D35"/>
    <w:rsid w:val="00F60897"/>
    <w:rsid w:val="00F632D6"/>
    <w:rsid w:val="00F63570"/>
    <w:rsid w:val="00F6364B"/>
    <w:rsid w:val="00F76BA9"/>
    <w:rsid w:val="00F95A11"/>
    <w:rsid w:val="00FB0128"/>
    <w:rsid w:val="00FB305B"/>
    <w:rsid w:val="00FB46CE"/>
    <w:rsid w:val="00FB6D76"/>
    <w:rsid w:val="00FC2215"/>
    <w:rsid w:val="00FC562B"/>
    <w:rsid w:val="00FE5660"/>
    <w:rsid w:val="00FF4CD2"/>
    <w:rsid w:val="00FF52F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sz w:val="22"/>
        <w:szCs w:val="22"/>
        <w:lang w:val="nl-NL" w:eastAsia="nl-N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850148"/>
    <w:pPr>
      <w:spacing w:after="120" w:line="245" w:lineRule="auto"/>
      <w:jc w:val="both"/>
    </w:pPr>
    <w:rPr>
      <w:sz w:val="20"/>
      <w:lang w:val="en-US" w:eastAsia="en-US"/>
    </w:rPr>
  </w:style>
  <w:style w:type="paragraph" w:styleId="Heading1">
    <w:name w:val="heading 1"/>
    <w:basedOn w:val="Normal"/>
    <w:next w:val="Normal"/>
    <w:link w:val="Heading1Char"/>
    <w:uiPriority w:val="99"/>
    <w:qFormat/>
    <w:rsid w:val="00F60897"/>
    <w:pPr>
      <w:keepNext/>
      <w:keepLines/>
      <w:pBdr>
        <w:bottom w:val="single" w:sz="4" w:space="1" w:color="auto"/>
      </w:pBdr>
      <w:shd w:val="clear" w:color="auto" w:fill="EAF1DD"/>
      <w:spacing w:before="480" w:after="0"/>
      <w:outlineLvl w:val="0"/>
    </w:pPr>
    <w:rPr>
      <w:rFonts w:ascii="Cambria" w:hAnsi="Cambria"/>
      <w:b/>
      <w:bCs/>
      <w:sz w:val="24"/>
      <w:szCs w:val="28"/>
    </w:rPr>
  </w:style>
  <w:style w:type="paragraph" w:styleId="Heading2">
    <w:name w:val="heading 2"/>
    <w:basedOn w:val="Normal"/>
    <w:next w:val="Normal"/>
    <w:link w:val="Heading2Char"/>
    <w:uiPriority w:val="99"/>
    <w:qFormat/>
    <w:rsid w:val="00850148"/>
    <w:pPr>
      <w:keepNext/>
      <w:keepLines/>
      <w:spacing w:before="200" w:after="0"/>
      <w:outlineLvl w:val="1"/>
    </w:pPr>
    <w:rPr>
      <w:rFonts w:ascii="Cambria" w:hAnsi="Cambria"/>
      <w:b/>
      <w:bCs/>
      <w:smallCaps/>
      <w:szCs w:val="26"/>
    </w:rPr>
  </w:style>
  <w:style w:type="paragraph" w:styleId="Heading3">
    <w:name w:val="heading 3"/>
    <w:basedOn w:val="Normal"/>
    <w:next w:val="Normal"/>
    <w:link w:val="Heading3Char"/>
    <w:uiPriority w:val="99"/>
    <w:qFormat/>
    <w:rsid w:val="00AA0548"/>
    <w:pPr>
      <w:keepNext/>
      <w:keepLines/>
      <w:numPr>
        <w:numId w:val="17"/>
      </w:numPr>
      <w:spacing w:before="120" w:after="0" w:line="252" w:lineRule="auto"/>
      <w:ind w:left="288" w:hanging="144"/>
      <w:jc w:val="left"/>
      <w:outlineLvl w:val="2"/>
    </w:pPr>
    <w:rPr>
      <w:rFonts w:ascii="Cambria" w:hAnsi="Cambria"/>
      <w:b/>
      <w:bCs/>
      <w:color w:val="632423"/>
    </w:rPr>
  </w:style>
  <w:style w:type="paragraph" w:styleId="Heading4">
    <w:name w:val="heading 4"/>
    <w:basedOn w:val="Normal"/>
    <w:next w:val="Normal"/>
    <w:link w:val="Heading4Char"/>
    <w:uiPriority w:val="99"/>
    <w:qFormat/>
    <w:rsid w:val="00FC2215"/>
    <w:pPr>
      <w:keepNext/>
      <w:keepLines/>
      <w:spacing w:before="200" w:after="0"/>
      <w:outlineLvl w:val="3"/>
    </w:pPr>
    <w:rPr>
      <w:rFonts w:ascii="Cambria" w:hAnsi="Cambria"/>
      <w:b/>
      <w:bCs/>
      <w:i/>
      <w:iCs/>
      <w:color w:val="4F81BD"/>
    </w:rPr>
  </w:style>
  <w:style w:type="paragraph" w:styleId="Heading5">
    <w:name w:val="heading 5"/>
    <w:basedOn w:val="Normal"/>
    <w:next w:val="Normal"/>
    <w:link w:val="Heading5Char"/>
    <w:uiPriority w:val="99"/>
    <w:qFormat/>
    <w:rsid w:val="007938EE"/>
    <w:pPr>
      <w:keepNext/>
      <w:keepLines/>
      <w:spacing w:before="200" w:after="0"/>
      <w:outlineLvl w:val="4"/>
    </w:pPr>
    <w:rPr>
      <w:rFonts w:ascii="Cambria" w:hAnsi="Cambria"/>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F60897"/>
    <w:rPr>
      <w:rFonts w:ascii="Cambria" w:hAnsi="Cambria" w:cs="Times New Roman"/>
      <w:b/>
      <w:bCs/>
      <w:sz w:val="28"/>
      <w:szCs w:val="28"/>
      <w:shd w:val="clear" w:color="auto" w:fill="EAF1DD"/>
    </w:rPr>
  </w:style>
  <w:style w:type="character" w:customStyle="1" w:styleId="Heading2Char">
    <w:name w:val="Heading 2 Char"/>
    <w:basedOn w:val="DefaultParagraphFont"/>
    <w:link w:val="Heading2"/>
    <w:uiPriority w:val="99"/>
    <w:locked/>
    <w:rsid w:val="00850148"/>
    <w:rPr>
      <w:rFonts w:ascii="Cambria" w:hAnsi="Cambria" w:cs="Times New Roman"/>
      <w:b/>
      <w:bCs/>
      <w:smallCaps/>
      <w:sz w:val="26"/>
      <w:szCs w:val="26"/>
    </w:rPr>
  </w:style>
  <w:style w:type="character" w:customStyle="1" w:styleId="Heading3Char">
    <w:name w:val="Heading 3 Char"/>
    <w:basedOn w:val="DefaultParagraphFont"/>
    <w:link w:val="Heading3"/>
    <w:uiPriority w:val="99"/>
    <w:locked/>
    <w:rsid w:val="00AA0548"/>
    <w:rPr>
      <w:rFonts w:ascii="Cambria" w:hAnsi="Cambria" w:cs="Times New Roman"/>
      <w:b/>
      <w:bCs/>
      <w:color w:val="632423"/>
      <w:sz w:val="20"/>
    </w:rPr>
  </w:style>
  <w:style w:type="character" w:customStyle="1" w:styleId="Heading4Char">
    <w:name w:val="Heading 4 Char"/>
    <w:basedOn w:val="DefaultParagraphFont"/>
    <w:link w:val="Heading4"/>
    <w:uiPriority w:val="99"/>
    <w:locked/>
    <w:rsid w:val="00FC2215"/>
    <w:rPr>
      <w:rFonts w:ascii="Cambria" w:hAnsi="Cambria" w:cs="Times New Roman"/>
      <w:b/>
      <w:bCs/>
      <w:i/>
      <w:iCs/>
      <w:color w:val="4F81BD"/>
    </w:rPr>
  </w:style>
  <w:style w:type="character" w:customStyle="1" w:styleId="Heading5Char">
    <w:name w:val="Heading 5 Char"/>
    <w:basedOn w:val="DefaultParagraphFont"/>
    <w:link w:val="Heading5"/>
    <w:uiPriority w:val="99"/>
    <w:locked/>
    <w:rsid w:val="007938EE"/>
    <w:rPr>
      <w:rFonts w:ascii="Cambria" w:hAnsi="Cambria" w:cs="Times New Roman"/>
      <w:color w:val="243F60"/>
    </w:rPr>
  </w:style>
  <w:style w:type="paragraph" w:styleId="Quote">
    <w:name w:val="Quote"/>
    <w:basedOn w:val="Normal"/>
    <w:next w:val="Normal"/>
    <w:link w:val="QuoteChar"/>
    <w:uiPriority w:val="99"/>
    <w:qFormat/>
    <w:rsid w:val="00CA4D8F"/>
    <w:pPr>
      <w:spacing w:after="40" w:line="252" w:lineRule="auto"/>
    </w:pPr>
    <w:rPr>
      <w:i/>
      <w:iCs/>
      <w:color w:val="7F7F7F"/>
      <w:sz w:val="18"/>
    </w:rPr>
  </w:style>
  <w:style w:type="character" w:customStyle="1" w:styleId="QuoteChar">
    <w:name w:val="Quote Char"/>
    <w:basedOn w:val="DefaultParagraphFont"/>
    <w:link w:val="Quote"/>
    <w:uiPriority w:val="99"/>
    <w:locked/>
    <w:rsid w:val="00CA4D8F"/>
    <w:rPr>
      <w:rFonts w:cs="Times New Roman"/>
      <w:i/>
      <w:iCs/>
      <w:color w:val="7F7F7F"/>
      <w:sz w:val="18"/>
    </w:rPr>
  </w:style>
  <w:style w:type="character" w:styleId="Hyperlink">
    <w:name w:val="Hyperlink"/>
    <w:basedOn w:val="DefaultParagraphFont"/>
    <w:uiPriority w:val="99"/>
    <w:rsid w:val="004F70C4"/>
    <w:rPr>
      <w:rFonts w:cs="Times New Roman"/>
      <w:color w:val="0000FF"/>
      <w:u w:val="single"/>
    </w:rPr>
  </w:style>
  <w:style w:type="paragraph" w:styleId="Title">
    <w:name w:val="Title"/>
    <w:basedOn w:val="Normal"/>
    <w:next w:val="Normal"/>
    <w:link w:val="TitleChar"/>
    <w:uiPriority w:val="99"/>
    <w:qFormat/>
    <w:rsid w:val="007B2596"/>
    <w:pPr>
      <w:pBdr>
        <w:bottom w:val="single" w:sz="8" w:space="4" w:color="4F81BD"/>
      </w:pBdr>
      <w:spacing w:line="240" w:lineRule="auto"/>
      <w:contextualSpacing/>
      <w:jc w:val="left"/>
    </w:pPr>
    <w:rPr>
      <w:rFonts w:ascii="Cambria" w:hAnsi="Cambria"/>
      <w:b/>
      <w:color w:val="17365D"/>
      <w:spacing w:val="5"/>
      <w:kern w:val="28"/>
      <w:sz w:val="36"/>
      <w:szCs w:val="52"/>
    </w:rPr>
  </w:style>
  <w:style w:type="character" w:customStyle="1" w:styleId="TitleChar">
    <w:name w:val="Title Char"/>
    <w:basedOn w:val="DefaultParagraphFont"/>
    <w:link w:val="Title"/>
    <w:uiPriority w:val="99"/>
    <w:locked/>
    <w:rsid w:val="007B2596"/>
    <w:rPr>
      <w:rFonts w:ascii="Cambria" w:hAnsi="Cambria" w:cs="Times New Roman"/>
      <w:b/>
      <w:color w:val="17365D"/>
      <w:spacing w:val="5"/>
      <w:kern w:val="28"/>
      <w:sz w:val="52"/>
      <w:szCs w:val="52"/>
    </w:rPr>
  </w:style>
  <w:style w:type="paragraph" w:styleId="Subtitle">
    <w:name w:val="Subtitle"/>
    <w:basedOn w:val="Normal"/>
    <w:next w:val="Normal"/>
    <w:link w:val="SubtitleChar"/>
    <w:uiPriority w:val="99"/>
    <w:qFormat/>
    <w:rsid w:val="002A7D79"/>
    <w:pPr>
      <w:numPr>
        <w:ilvl w:val="1"/>
      </w:numPr>
      <w:spacing w:after="240"/>
    </w:pPr>
    <w:rPr>
      <w:rFonts w:ascii="Cambria" w:hAnsi="Cambria"/>
      <w:b/>
      <w:i/>
      <w:iCs/>
      <w:smallCaps/>
      <w:color w:val="808080"/>
      <w:spacing w:val="15"/>
      <w:szCs w:val="24"/>
    </w:rPr>
  </w:style>
  <w:style w:type="character" w:customStyle="1" w:styleId="SubtitleChar">
    <w:name w:val="Subtitle Char"/>
    <w:basedOn w:val="DefaultParagraphFont"/>
    <w:link w:val="Subtitle"/>
    <w:uiPriority w:val="99"/>
    <w:locked/>
    <w:rsid w:val="002A7D79"/>
    <w:rPr>
      <w:rFonts w:ascii="Cambria" w:hAnsi="Cambria" w:cs="Times New Roman"/>
      <w:b/>
      <w:i/>
      <w:iCs/>
      <w:smallCaps/>
      <w:color w:val="808080"/>
      <w:spacing w:val="15"/>
      <w:sz w:val="24"/>
      <w:szCs w:val="24"/>
    </w:rPr>
  </w:style>
  <w:style w:type="paragraph" w:styleId="ListParagraph">
    <w:name w:val="List Paragraph"/>
    <w:basedOn w:val="Normal"/>
    <w:uiPriority w:val="99"/>
    <w:qFormat/>
    <w:rsid w:val="00B318E6"/>
    <w:pPr>
      <w:ind w:left="720"/>
      <w:contextualSpacing/>
    </w:pPr>
  </w:style>
  <w:style w:type="paragraph" w:styleId="NormalWeb">
    <w:name w:val="Normal (Web)"/>
    <w:basedOn w:val="Normal"/>
    <w:uiPriority w:val="99"/>
    <w:semiHidden/>
    <w:rsid w:val="00483B37"/>
    <w:pPr>
      <w:spacing w:before="100" w:beforeAutospacing="1" w:after="100" w:afterAutospacing="1" w:line="240" w:lineRule="auto"/>
    </w:pPr>
    <w:rPr>
      <w:rFonts w:ascii="Times New Roman" w:hAnsi="Times New Roman"/>
      <w:sz w:val="24"/>
      <w:szCs w:val="24"/>
    </w:rPr>
  </w:style>
  <w:style w:type="character" w:customStyle="1" w:styleId="editsection">
    <w:name w:val="editsection"/>
    <w:basedOn w:val="DefaultParagraphFont"/>
    <w:uiPriority w:val="99"/>
    <w:rsid w:val="00483B37"/>
    <w:rPr>
      <w:rFonts w:cs="Times New Roman"/>
    </w:rPr>
  </w:style>
  <w:style w:type="character" w:customStyle="1" w:styleId="mw-headline">
    <w:name w:val="mw-headline"/>
    <w:basedOn w:val="DefaultParagraphFont"/>
    <w:uiPriority w:val="99"/>
    <w:rsid w:val="00483B37"/>
    <w:rPr>
      <w:rFonts w:cs="Times New Roman"/>
    </w:rPr>
  </w:style>
  <w:style w:type="character" w:styleId="FollowedHyperlink">
    <w:name w:val="FollowedHyperlink"/>
    <w:basedOn w:val="DefaultParagraphFont"/>
    <w:uiPriority w:val="99"/>
    <w:semiHidden/>
    <w:rsid w:val="00483B37"/>
    <w:rPr>
      <w:rFonts w:cs="Times New Roman"/>
      <w:color w:val="800080"/>
      <w:u w:val="single"/>
    </w:rPr>
  </w:style>
  <w:style w:type="paragraph" w:styleId="BalloonText">
    <w:name w:val="Balloon Text"/>
    <w:basedOn w:val="Normal"/>
    <w:link w:val="BalloonTextChar"/>
    <w:uiPriority w:val="99"/>
    <w:semiHidden/>
    <w:rsid w:val="00FC22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C2215"/>
    <w:rPr>
      <w:rFonts w:ascii="Tahoma" w:hAnsi="Tahoma" w:cs="Tahoma"/>
      <w:sz w:val="16"/>
      <w:szCs w:val="16"/>
    </w:rPr>
  </w:style>
  <w:style w:type="paragraph" w:styleId="NoSpacing">
    <w:name w:val="No Spacing"/>
    <w:uiPriority w:val="99"/>
    <w:qFormat/>
    <w:rsid w:val="0000558C"/>
    <w:rPr>
      <w:lang w:val="en-US" w:eastAsia="en-US"/>
    </w:rPr>
  </w:style>
  <w:style w:type="character" w:styleId="Emphasis">
    <w:name w:val="Emphasis"/>
    <w:basedOn w:val="DefaultParagraphFont"/>
    <w:uiPriority w:val="99"/>
    <w:qFormat/>
    <w:rsid w:val="004072FE"/>
    <w:rPr>
      <w:rFonts w:cs="Times New Roman"/>
      <w:i/>
      <w:iCs/>
      <w:sz w:val="18"/>
      <w:u w:color="95B3D7"/>
    </w:rPr>
  </w:style>
  <w:style w:type="character" w:styleId="IntenseEmphasis">
    <w:name w:val="Intense Emphasis"/>
    <w:basedOn w:val="DefaultParagraphFont"/>
    <w:uiPriority w:val="99"/>
    <w:qFormat/>
    <w:rsid w:val="00236580"/>
    <w:rPr>
      <w:rFonts w:cs="Times New Roman"/>
      <w:b/>
      <w:bCs/>
      <w:i/>
      <w:iCs/>
      <w:color w:val="4F81BD"/>
    </w:rPr>
  </w:style>
  <w:style w:type="character" w:styleId="Strong">
    <w:name w:val="Strong"/>
    <w:basedOn w:val="DefaultParagraphFont"/>
    <w:uiPriority w:val="99"/>
    <w:qFormat/>
    <w:rsid w:val="00AB459A"/>
    <w:rPr>
      <w:rFonts w:cs="Times New Roman"/>
      <w:b/>
      <w:bCs/>
    </w:rPr>
  </w:style>
  <w:style w:type="paragraph" w:styleId="Header">
    <w:name w:val="header"/>
    <w:basedOn w:val="Normal"/>
    <w:link w:val="HeaderChar"/>
    <w:uiPriority w:val="99"/>
    <w:rsid w:val="002552AF"/>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2552AF"/>
    <w:rPr>
      <w:rFonts w:cs="Times New Roman"/>
    </w:rPr>
  </w:style>
  <w:style w:type="paragraph" w:styleId="Footer">
    <w:name w:val="footer"/>
    <w:basedOn w:val="Normal"/>
    <w:link w:val="FooterChar"/>
    <w:uiPriority w:val="99"/>
    <w:rsid w:val="002552AF"/>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2552AF"/>
    <w:rPr>
      <w:rFonts w:cs="Times New Roman"/>
    </w:rPr>
  </w:style>
  <w:style w:type="paragraph" w:styleId="TOCHeading">
    <w:name w:val="TOC Heading"/>
    <w:basedOn w:val="Heading1"/>
    <w:next w:val="Normal"/>
    <w:uiPriority w:val="99"/>
    <w:qFormat/>
    <w:rsid w:val="002552AF"/>
    <w:pPr>
      <w:spacing w:line="276" w:lineRule="auto"/>
      <w:outlineLvl w:val="9"/>
    </w:pPr>
    <w:rPr>
      <w:lang w:eastAsia="ja-JP"/>
    </w:rPr>
  </w:style>
  <w:style w:type="paragraph" w:styleId="TOC2">
    <w:name w:val="toc 2"/>
    <w:basedOn w:val="Normal"/>
    <w:next w:val="Normal"/>
    <w:autoRedefine/>
    <w:uiPriority w:val="99"/>
    <w:rsid w:val="00BF7E47"/>
    <w:pPr>
      <w:spacing w:after="20" w:line="240" w:lineRule="auto"/>
      <w:ind w:left="216"/>
    </w:pPr>
    <w:rPr>
      <w:color w:val="632423"/>
      <w:sz w:val="18"/>
      <w:szCs w:val="20"/>
    </w:rPr>
  </w:style>
  <w:style w:type="paragraph" w:styleId="TOC1">
    <w:name w:val="toc 1"/>
    <w:basedOn w:val="Normal"/>
    <w:next w:val="Normal"/>
    <w:autoRedefine/>
    <w:uiPriority w:val="99"/>
    <w:rsid w:val="004072FE"/>
    <w:pPr>
      <w:spacing w:before="80" w:after="40" w:line="240" w:lineRule="auto"/>
    </w:pPr>
    <w:rPr>
      <w:b/>
      <w:bCs/>
      <w:smallCaps/>
      <w:szCs w:val="20"/>
    </w:rPr>
  </w:style>
  <w:style w:type="paragraph" w:styleId="TOC3">
    <w:name w:val="toc 3"/>
    <w:basedOn w:val="Normal"/>
    <w:next w:val="Normal"/>
    <w:autoRedefine/>
    <w:uiPriority w:val="99"/>
    <w:rsid w:val="00BF7E47"/>
    <w:pPr>
      <w:spacing w:after="0"/>
      <w:ind w:left="440"/>
    </w:pPr>
    <w:rPr>
      <w:i/>
      <w:iCs/>
      <w:smallCaps/>
      <w:color w:val="365F91"/>
      <w:sz w:val="16"/>
      <w:szCs w:val="20"/>
    </w:rPr>
  </w:style>
  <w:style w:type="paragraph" w:styleId="TOC4">
    <w:name w:val="toc 4"/>
    <w:basedOn w:val="Normal"/>
    <w:next w:val="Normal"/>
    <w:autoRedefine/>
    <w:uiPriority w:val="99"/>
    <w:rsid w:val="002552AF"/>
    <w:pPr>
      <w:spacing w:after="0"/>
      <w:ind w:left="660"/>
    </w:pPr>
    <w:rPr>
      <w:sz w:val="18"/>
      <w:szCs w:val="18"/>
    </w:rPr>
  </w:style>
  <w:style w:type="paragraph" w:styleId="TOC5">
    <w:name w:val="toc 5"/>
    <w:basedOn w:val="Normal"/>
    <w:next w:val="Normal"/>
    <w:autoRedefine/>
    <w:uiPriority w:val="99"/>
    <w:rsid w:val="002552AF"/>
    <w:pPr>
      <w:spacing w:after="0"/>
      <w:ind w:left="880"/>
    </w:pPr>
    <w:rPr>
      <w:sz w:val="18"/>
      <w:szCs w:val="18"/>
    </w:rPr>
  </w:style>
  <w:style w:type="paragraph" w:styleId="TOC6">
    <w:name w:val="toc 6"/>
    <w:basedOn w:val="Normal"/>
    <w:next w:val="Normal"/>
    <w:autoRedefine/>
    <w:uiPriority w:val="99"/>
    <w:rsid w:val="002552AF"/>
    <w:pPr>
      <w:spacing w:after="0"/>
      <w:ind w:left="1100"/>
    </w:pPr>
    <w:rPr>
      <w:sz w:val="18"/>
      <w:szCs w:val="18"/>
    </w:rPr>
  </w:style>
  <w:style w:type="paragraph" w:styleId="TOC7">
    <w:name w:val="toc 7"/>
    <w:basedOn w:val="Normal"/>
    <w:next w:val="Normal"/>
    <w:autoRedefine/>
    <w:uiPriority w:val="99"/>
    <w:rsid w:val="002552AF"/>
    <w:pPr>
      <w:spacing w:after="0"/>
      <w:ind w:left="1320"/>
    </w:pPr>
    <w:rPr>
      <w:sz w:val="18"/>
      <w:szCs w:val="18"/>
    </w:rPr>
  </w:style>
  <w:style w:type="paragraph" w:styleId="TOC8">
    <w:name w:val="toc 8"/>
    <w:basedOn w:val="Normal"/>
    <w:next w:val="Normal"/>
    <w:autoRedefine/>
    <w:uiPriority w:val="99"/>
    <w:rsid w:val="002552AF"/>
    <w:pPr>
      <w:spacing w:after="0"/>
      <w:ind w:left="1540"/>
    </w:pPr>
    <w:rPr>
      <w:sz w:val="18"/>
      <w:szCs w:val="18"/>
    </w:rPr>
  </w:style>
  <w:style w:type="paragraph" w:styleId="TOC9">
    <w:name w:val="toc 9"/>
    <w:basedOn w:val="Normal"/>
    <w:next w:val="Normal"/>
    <w:autoRedefine/>
    <w:uiPriority w:val="99"/>
    <w:rsid w:val="002552AF"/>
    <w:pPr>
      <w:spacing w:after="0"/>
      <w:ind w:left="1760"/>
    </w:pPr>
    <w:rPr>
      <w:sz w:val="18"/>
      <w:szCs w:val="18"/>
    </w:rPr>
  </w:style>
  <w:style w:type="character" w:styleId="IntenseReference">
    <w:name w:val="Intense Reference"/>
    <w:basedOn w:val="DefaultParagraphFont"/>
    <w:uiPriority w:val="99"/>
    <w:qFormat/>
    <w:rsid w:val="00565C8E"/>
    <w:rPr>
      <w:rFonts w:cs="Times New Roman"/>
      <w:b/>
      <w:bCs/>
      <w:smallCaps/>
      <w:color w:val="C0504D"/>
      <w:spacing w:val="5"/>
      <w:u w:val="single"/>
    </w:rPr>
  </w:style>
  <w:style w:type="character" w:styleId="SubtleEmphasis">
    <w:name w:val="Subtle Emphasis"/>
    <w:basedOn w:val="DefaultParagraphFont"/>
    <w:uiPriority w:val="99"/>
    <w:qFormat/>
    <w:rsid w:val="00C73677"/>
    <w:rPr>
      <w:rFonts w:cs="Times New Roman"/>
      <w:i/>
      <w:iCs/>
      <w:color w:val="76923C"/>
    </w:rPr>
  </w:style>
  <w:style w:type="character" w:styleId="CommentReference">
    <w:name w:val="annotation reference"/>
    <w:basedOn w:val="DefaultParagraphFont"/>
    <w:uiPriority w:val="99"/>
    <w:semiHidden/>
    <w:rsid w:val="0002550D"/>
    <w:rPr>
      <w:rFonts w:cs="Times New Roman"/>
      <w:sz w:val="16"/>
      <w:szCs w:val="16"/>
    </w:rPr>
  </w:style>
  <w:style w:type="paragraph" w:styleId="CommentText">
    <w:name w:val="annotation text"/>
    <w:basedOn w:val="Normal"/>
    <w:link w:val="CommentTextChar"/>
    <w:uiPriority w:val="99"/>
    <w:semiHidden/>
    <w:rsid w:val="0002550D"/>
    <w:pPr>
      <w:spacing w:line="240" w:lineRule="auto"/>
    </w:pPr>
    <w:rPr>
      <w:szCs w:val="20"/>
    </w:rPr>
  </w:style>
  <w:style w:type="character" w:customStyle="1" w:styleId="CommentTextChar">
    <w:name w:val="Comment Text Char"/>
    <w:basedOn w:val="DefaultParagraphFont"/>
    <w:link w:val="CommentText"/>
    <w:uiPriority w:val="99"/>
    <w:semiHidden/>
    <w:locked/>
    <w:rsid w:val="0002550D"/>
    <w:rPr>
      <w:rFonts w:cs="Times New Roman"/>
      <w:sz w:val="20"/>
      <w:szCs w:val="20"/>
    </w:rPr>
  </w:style>
  <w:style w:type="paragraph" w:styleId="CommentSubject">
    <w:name w:val="annotation subject"/>
    <w:basedOn w:val="CommentText"/>
    <w:next w:val="CommentText"/>
    <w:link w:val="CommentSubjectChar"/>
    <w:uiPriority w:val="99"/>
    <w:semiHidden/>
    <w:rsid w:val="0002550D"/>
    <w:rPr>
      <w:b/>
      <w:bCs/>
    </w:rPr>
  </w:style>
  <w:style w:type="character" w:customStyle="1" w:styleId="CommentSubjectChar">
    <w:name w:val="Comment Subject Char"/>
    <w:basedOn w:val="CommentTextChar"/>
    <w:link w:val="CommentSubject"/>
    <w:uiPriority w:val="99"/>
    <w:semiHidden/>
    <w:locked/>
    <w:rsid w:val="0002550D"/>
    <w:rPr>
      <w:rFonts w:cs="Times New Roman"/>
      <w:b/>
      <w:bCs/>
      <w:sz w:val="20"/>
      <w:szCs w:val="20"/>
    </w:rPr>
  </w:style>
  <w:style w:type="paragraph" w:styleId="IntenseQuote">
    <w:name w:val="Intense Quote"/>
    <w:basedOn w:val="Normal"/>
    <w:next w:val="Normal"/>
    <w:link w:val="IntenseQuoteChar"/>
    <w:uiPriority w:val="99"/>
    <w:qFormat/>
    <w:rsid w:val="0037593C"/>
    <w:pPr>
      <w:pBdr>
        <w:bottom w:val="single" w:sz="4" w:space="4" w:color="4F81BD"/>
      </w:pBdr>
      <w:spacing w:before="200" w:after="280" w:line="264" w:lineRule="auto"/>
      <w:ind w:left="936" w:right="936"/>
    </w:pPr>
    <w:rPr>
      <w:b/>
      <w:bCs/>
      <w:i/>
      <w:iCs/>
      <w:color w:val="4F81BD"/>
    </w:rPr>
  </w:style>
  <w:style w:type="character" w:customStyle="1" w:styleId="IntenseQuoteChar">
    <w:name w:val="Intense Quote Char"/>
    <w:basedOn w:val="DefaultParagraphFont"/>
    <w:link w:val="IntenseQuote"/>
    <w:uiPriority w:val="99"/>
    <w:locked/>
    <w:rsid w:val="0037593C"/>
    <w:rPr>
      <w:rFonts w:ascii="Calibri" w:hAnsi="Calibri" w:cs="Times New Roman"/>
      <w:b/>
      <w:bCs/>
      <w:i/>
      <w:iCs/>
      <w:color w:val="4F81BD"/>
    </w:rPr>
  </w:style>
  <w:style w:type="paragraph" w:customStyle="1" w:styleId="EndNoteBibliographyTitle">
    <w:name w:val="EndNote Bibliography Title"/>
    <w:basedOn w:val="Normal"/>
    <w:link w:val="EndNoteBibliographyTitleChar"/>
    <w:uiPriority w:val="99"/>
    <w:rsid w:val="006A7506"/>
    <w:pPr>
      <w:spacing w:after="0"/>
      <w:jc w:val="center"/>
    </w:pPr>
    <w:rPr>
      <w:noProof/>
      <w:sz w:val="22"/>
    </w:rPr>
  </w:style>
  <w:style w:type="character" w:customStyle="1" w:styleId="EndNoteBibliographyTitleChar">
    <w:name w:val="EndNote Bibliography Title Char"/>
    <w:basedOn w:val="DefaultParagraphFont"/>
    <w:link w:val="EndNoteBibliographyTitle"/>
    <w:uiPriority w:val="99"/>
    <w:locked/>
    <w:rsid w:val="006A7506"/>
    <w:rPr>
      <w:rFonts w:cs="Times New Roman"/>
      <w:noProof/>
      <w:lang w:val="en-US" w:eastAsia="en-US"/>
    </w:rPr>
  </w:style>
  <w:style w:type="paragraph" w:customStyle="1" w:styleId="EndNoteBibliography">
    <w:name w:val="EndNote Bibliography"/>
    <w:basedOn w:val="Normal"/>
    <w:link w:val="EndNoteBibliographyChar"/>
    <w:uiPriority w:val="99"/>
    <w:rsid w:val="006A7506"/>
    <w:pPr>
      <w:spacing w:line="240" w:lineRule="auto"/>
    </w:pPr>
    <w:rPr>
      <w:noProof/>
      <w:sz w:val="22"/>
    </w:rPr>
  </w:style>
  <w:style w:type="character" w:customStyle="1" w:styleId="EndNoteBibliographyChar">
    <w:name w:val="EndNote Bibliography Char"/>
    <w:basedOn w:val="DefaultParagraphFont"/>
    <w:link w:val="EndNoteBibliography"/>
    <w:uiPriority w:val="99"/>
    <w:locked/>
    <w:rsid w:val="006A7506"/>
    <w:rPr>
      <w:rFonts w:cs="Times New Roman"/>
      <w:noProof/>
      <w:lang w:val="en-US" w:eastAsia="en-US"/>
    </w:rPr>
  </w:style>
  <w:style w:type="paragraph" w:styleId="Caption">
    <w:name w:val="caption"/>
    <w:basedOn w:val="Normal"/>
    <w:next w:val="Normal"/>
    <w:uiPriority w:val="99"/>
    <w:qFormat/>
    <w:rsid w:val="00EF69DD"/>
    <w:pPr>
      <w:spacing w:line="240" w:lineRule="auto"/>
      <w:jc w:val="left"/>
    </w:pPr>
    <w:rPr>
      <w:b/>
      <w:bCs/>
      <w:color w:val="4F81BD"/>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sz w:val="22"/>
        <w:szCs w:val="22"/>
        <w:lang w:val="nl-NL" w:eastAsia="nl-N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850148"/>
    <w:pPr>
      <w:spacing w:after="120" w:line="245" w:lineRule="auto"/>
      <w:jc w:val="both"/>
    </w:pPr>
    <w:rPr>
      <w:sz w:val="20"/>
      <w:lang w:val="en-US" w:eastAsia="en-US"/>
    </w:rPr>
  </w:style>
  <w:style w:type="paragraph" w:styleId="Heading1">
    <w:name w:val="heading 1"/>
    <w:basedOn w:val="Normal"/>
    <w:next w:val="Normal"/>
    <w:link w:val="Heading1Char"/>
    <w:uiPriority w:val="99"/>
    <w:qFormat/>
    <w:rsid w:val="00F60897"/>
    <w:pPr>
      <w:keepNext/>
      <w:keepLines/>
      <w:pBdr>
        <w:bottom w:val="single" w:sz="4" w:space="1" w:color="auto"/>
      </w:pBdr>
      <w:shd w:val="clear" w:color="auto" w:fill="EAF1DD"/>
      <w:spacing w:before="480" w:after="0"/>
      <w:outlineLvl w:val="0"/>
    </w:pPr>
    <w:rPr>
      <w:rFonts w:ascii="Cambria" w:hAnsi="Cambria"/>
      <w:b/>
      <w:bCs/>
      <w:sz w:val="24"/>
      <w:szCs w:val="28"/>
    </w:rPr>
  </w:style>
  <w:style w:type="paragraph" w:styleId="Heading2">
    <w:name w:val="heading 2"/>
    <w:basedOn w:val="Normal"/>
    <w:next w:val="Normal"/>
    <w:link w:val="Heading2Char"/>
    <w:uiPriority w:val="99"/>
    <w:qFormat/>
    <w:rsid w:val="00850148"/>
    <w:pPr>
      <w:keepNext/>
      <w:keepLines/>
      <w:spacing w:before="200" w:after="0"/>
      <w:outlineLvl w:val="1"/>
    </w:pPr>
    <w:rPr>
      <w:rFonts w:ascii="Cambria" w:hAnsi="Cambria"/>
      <w:b/>
      <w:bCs/>
      <w:smallCaps/>
      <w:szCs w:val="26"/>
    </w:rPr>
  </w:style>
  <w:style w:type="paragraph" w:styleId="Heading3">
    <w:name w:val="heading 3"/>
    <w:basedOn w:val="Normal"/>
    <w:next w:val="Normal"/>
    <w:link w:val="Heading3Char"/>
    <w:uiPriority w:val="99"/>
    <w:qFormat/>
    <w:rsid w:val="00AA0548"/>
    <w:pPr>
      <w:keepNext/>
      <w:keepLines/>
      <w:numPr>
        <w:numId w:val="17"/>
      </w:numPr>
      <w:spacing w:before="120" w:after="0" w:line="252" w:lineRule="auto"/>
      <w:ind w:left="288" w:hanging="144"/>
      <w:jc w:val="left"/>
      <w:outlineLvl w:val="2"/>
    </w:pPr>
    <w:rPr>
      <w:rFonts w:ascii="Cambria" w:hAnsi="Cambria"/>
      <w:b/>
      <w:bCs/>
      <w:color w:val="632423"/>
    </w:rPr>
  </w:style>
  <w:style w:type="paragraph" w:styleId="Heading4">
    <w:name w:val="heading 4"/>
    <w:basedOn w:val="Normal"/>
    <w:next w:val="Normal"/>
    <w:link w:val="Heading4Char"/>
    <w:uiPriority w:val="99"/>
    <w:qFormat/>
    <w:rsid w:val="00FC2215"/>
    <w:pPr>
      <w:keepNext/>
      <w:keepLines/>
      <w:spacing w:before="200" w:after="0"/>
      <w:outlineLvl w:val="3"/>
    </w:pPr>
    <w:rPr>
      <w:rFonts w:ascii="Cambria" w:hAnsi="Cambria"/>
      <w:b/>
      <w:bCs/>
      <w:i/>
      <w:iCs/>
      <w:color w:val="4F81BD"/>
    </w:rPr>
  </w:style>
  <w:style w:type="paragraph" w:styleId="Heading5">
    <w:name w:val="heading 5"/>
    <w:basedOn w:val="Normal"/>
    <w:next w:val="Normal"/>
    <w:link w:val="Heading5Char"/>
    <w:uiPriority w:val="99"/>
    <w:qFormat/>
    <w:rsid w:val="007938EE"/>
    <w:pPr>
      <w:keepNext/>
      <w:keepLines/>
      <w:spacing w:before="200" w:after="0"/>
      <w:outlineLvl w:val="4"/>
    </w:pPr>
    <w:rPr>
      <w:rFonts w:ascii="Cambria" w:hAnsi="Cambria"/>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F60897"/>
    <w:rPr>
      <w:rFonts w:ascii="Cambria" w:hAnsi="Cambria" w:cs="Times New Roman"/>
      <w:b/>
      <w:bCs/>
      <w:sz w:val="28"/>
      <w:szCs w:val="28"/>
      <w:shd w:val="clear" w:color="auto" w:fill="EAF1DD"/>
    </w:rPr>
  </w:style>
  <w:style w:type="character" w:customStyle="1" w:styleId="Heading2Char">
    <w:name w:val="Heading 2 Char"/>
    <w:basedOn w:val="DefaultParagraphFont"/>
    <w:link w:val="Heading2"/>
    <w:uiPriority w:val="99"/>
    <w:locked/>
    <w:rsid w:val="00850148"/>
    <w:rPr>
      <w:rFonts w:ascii="Cambria" w:hAnsi="Cambria" w:cs="Times New Roman"/>
      <w:b/>
      <w:bCs/>
      <w:smallCaps/>
      <w:sz w:val="26"/>
      <w:szCs w:val="26"/>
    </w:rPr>
  </w:style>
  <w:style w:type="character" w:customStyle="1" w:styleId="Heading3Char">
    <w:name w:val="Heading 3 Char"/>
    <w:basedOn w:val="DefaultParagraphFont"/>
    <w:link w:val="Heading3"/>
    <w:uiPriority w:val="99"/>
    <w:locked/>
    <w:rsid w:val="00AA0548"/>
    <w:rPr>
      <w:rFonts w:ascii="Cambria" w:hAnsi="Cambria" w:cs="Times New Roman"/>
      <w:b/>
      <w:bCs/>
      <w:color w:val="632423"/>
      <w:sz w:val="20"/>
    </w:rPr>
  </w:style>
  <w:style w:type="character" w:customStyle="1" w:styleId="Heading4Char">
    <w:name w:val="Heading 4 Char"/>
    <w:basedOn w:val="DefaultParagraphFont"/>
    <w:link w:val="Heading4"/>
    <w:uiPriority w:val="99"/>
    <w:locked/>
    <w:rsid w:val="00FC2215"/>
    <w:rPr>
      <w:rFonts w:ascii="Cambria" w:hAnsi="Cambria" w:cs="Times New Roman"/>
      <w:b/>
      <w:bCs/>
      <w:i/>
      <w:iCs/>
      <w:color w:val="4F81BD"/>
    </w:rPr>
  </w:style>
  <w:style w:type="character" w:customStyle="1" w:styleId="Heading5Char">
    <w:name w:val="Heading 5 Char"/>
    <w:basedOn w:val="DefaultParagraphFont"/>
    <w:link w:val="Heading5"/>
    <w:uiPriority w:val="99"/>
    <w:locked/>
    <w:rsid w:val="007938EE"/>
    <w:rPr>
      <w:rFonts w:ascii="Cambria" w:hAnsi="Cambria" w:cs="Times New Roman"/>
      <w:color w:val="243F60"/>
    </w:rPr>
  </w:style>
  <w:style w:type="paragraph" w:styleId="Quote">
    <w:name w:val="Quote"/>
    <w:basedOn w:val="Normal"/>
    <w:next w:val="Normal"/>
    <w:link w:val="QuoteChar"/>
    <w:uiPriority w:val="99"/>
    <w:qFormat/>
    <w:rsid w:val="00CA4D8F"/>
    <w:pPr>
      <w:spacing w:after="40" w:line="252" w:lineRule="auto"/>
    </w:pPr>
    <w:rPr>
      <w:i/>
      <w:iCs/>
      <w:color w:val="7F7F7F"/>
      <w:sz w:val="18"/>
    </w:rPr>
  </w:style>
  <w:style w:type="character" w:customStyle="1" w:styleId="QuoteChar">
    <w:name w:val="Quote Char"/>
    <w:basedOn w:val="DefaultParagraphFont"/>
    <w:link w:val="Quote"/>
    <w:uiPriority w:val="99"/>
    <w:locked/>
    <w:rsid w:val="00CA4D8F"/>
    <w:rPr>
      <w:rFonts w:cs="Times New Roman"/>
      <w:i/>
      <w:iCs/>
      <w:color w:val="7F7F7F"/>
      <w:sz w:val="18"/>
    </w:rPr>
  </w:style>
  <w:style w:type="character" w:styleId="Hyperlink">
    <w:name w:val="Hyperlink"/>
    <w:basedOn w:val="DefaultParagraphFont"/>
    <w:uiPriority w:val="99"/>
    <w:rsid w:val="004F70C4"/>
    <w:rPr>
      <w:rFonts w:cs="Times New Roman"/>
      <w:color w:val="0000FF"/>
      <w:u w:val="single"/>
    </w:rPr>
  </w:style>
  <w:style w:type="paragraph" w:styleId="Title">
    <w:name w:val="Title"/>
    <w:basedOn w:val="Normal"/>
    <w:next w:val="Normal"/>
    <w:link w:val="TitleChar"/>
    <w:uiPriority w:val="99"/>
    <w:qFormat/>
    <w:rsid w:val="007B2596"/>
    <w:pPr>
      <w:pBdr>
        <w:bottom w:val="single" w:sz="8" w:space="4" w:color="4F81BD"/>
      </w:pBdr>
      <w:spacing w:line="240" w:lineRule="auto"/>
      <w:contextualSpacing/>
      <w:jc w:val="left"/>
    </w:pPr>
    <w:rPr>
      <w:rFonts w:ascii="Cambria" w:hAnsi="Cambria"/>
      <w:b/>
      <w:color w:val="17365D"/>
      <w:spacing w:val="5"/>
      <w:kern w:val="28"/>
      <w:sz w:val="36"/>
      <w:szCs w:val="52"/>
    </w:rPr>
  </w:style>
  <w:style w:type="character" w:customStyle="1" w:styleId="TitleChar">
    <w:name w:val="Title Char"/>
    <w:basedOn w:val="DefaultParagraphFont"/>
    <w:link w:val="Title"/>
    <w:uiPriority w:val="99"/>
    <w:locked/>
    <w:rsid w:val="007B2596"/>
    <w:rPr>
      <w:rFonts w:ascii="Cambria" w:hAnsi="Cambria" w:cs="Times New Roman"/>
      <w:b/>
      <w:color w:val="17365D"/>
      <w:spacing w:val="5"/>
      <w:kern w:val="28"/>
      <w:sz w:val="52"/>
      <w:szCs w:val="52"/>
    </w:rPr>
  </w:style>
  <w:style w:type="paragraph" w:styleId="Subtitle">
    <w:name w:val="Subtitle"/>
    <w:basedOn w:val="Normal"/>
    <w:next w:val="Normal"/>
    <w:link w:val="SubtitleChar"/>
    <w:uiPriority w:val="99"/>
    <w:qFormat/>
    <w:rsid w:val="002A7D79"/>
    <w:pPr>
      <w:numPr>
        <w:ilvl w:val="1"/>
      </w:numPr>
      <w:spacing w:after="240"/>
    </w:pPr>
    <w:rPr>
      <w:rFonts w:ascii="Cambria" w:hAnsi="Cambria"/>
      <w:b/>
      <w:i/>
      <w:iCs/>
      <w:smallCaps/>
      <w:color w:val="808080"/>
      <w:spacing w:val="15"/>
      <w:szCs w:val="24"/>
    </w:rPr>
  </w:style>
  <w:style w:type="character" w:customStyle="1" w:styleId="SubtitleChar">
    <w:name w:val="Subtitle Char"/>
    <w:basedOn w:val="DefaultParagraphFont"/>
    <w:link w:val="Subtitle"/>
    <w:uiPriority w:val="99"/>
    <w:locked/>
    <w:rsid w:val="002A7D79"/>
    <w:rPr>
      <w:rFonts w:ascii="Cambria" w:hAnsi="Cambria" w:cs="Times New Roman"/>
      <w:b/>
      <w:i/>
      <w:iCs/>
      <w:smallCaps/>
      <w:color w:val="808080"/>
      <w:spacing w:val="15"/>
      <w:sz w:val="24"/>
      <w:szCs w:val="24"/>
    </w:rPr>
  </w:style>
  <w:style w:type="paragraph" w:styleId="ListParagraph">
    <w:name w:val="List Paragraph"/>
    <w:basedOn w:val="Normal"/>
    <w:uiPriority w:val="99"/>
    <w:qFormat/>
    <w:rsid w:val="00B318E6"/>
    <w:pPr>
      <w:ind w:left="720"/>
      <w:contextualSpacing/>
    </w:pPr>
  </w:style>
  <w:style w:type="paragraph" w:styleId="NormalWeb">
    <w:name w:val="Normal (Web)"/>
    <w:basedOn w:val="Normal"/>
    <w:uiPriority w:val="99"/>
    <w:semiHidden/>
    <w:rsid w:val="00483B37"/>
    <w:pPr>
      <w:spacing w:before="100" w:beforeAutospacing="1" w:after="100" w:afterAutospacing="1" w:line="240" w:lineRule="auto"/>
    </w:pPr>
    <w:rPr>
      <w:rFonts w:ascii="Times New Roman" w:hAnsi="Times New Roman"/>
      <w:sz w:val="24"/>
      <w:szCs w:val="24"/>
    </w:rPr>
  </w:style>
  <w:style w:type="character" w:customStyle="1" w:styleId="editsection">
    <w:name w:val="editsection"/>
    <w:basedOn w:val="DefaultParagraphFont"/>
    <w:uiPriority w:val="99"/>
    <w:rsid w:val="00483B37"/>
    <w:rPr>
      <w:rFonts w:cs="Times New Roman"/>
    </w:rPr>
  </w:style>
  <w:style w:type="character" w:customStyle="1" w:styleId="mw-headline">
    <w:name w:val="mw-headline"/>
    <w:basedOn w:val="DefaultParagraphFont"/>
    <w:uiPriority w:val="99"/>
    <w:rsid w:val="00483B37"/>
    <w:rPr>
      <w:rFonts w:cs="Times New Roman"/>
    </w:rPr>
  </w:style>
  <w:style w:type="character" w:styleId="FollowedHyperlink">
    <w:name w:val="FollowedHyperlink"/>
    <w:basedOn w:val="DefaultParagraphFont"/>
    <w:uiPriority w:val="99"/>
    <w:semiHidden/>
    <w:rsid w:val="00483B37"/>
    <w:rPr>
      <w:rFonts w:cs="Times New Roman"/>
      <w:color w:val="800080"/>
      <w:u w:val="single"/>
    </w:rPr>
  </w:style>
  <w:style w:type="paragraph" w:styleId="BalloonText">
    <w:name w:val="Balloon Text"/>
    <w:basedOn w:val="Normal"/>
    <w:link w:val="BalloonTextChar"/>
    <w:uiPriority w:val="99"/>
    <w:semiHidden/>
    <w:rsid w:val="00FC22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C2215"/>
    <w:rPr>
      <w:rFonts w:ascii="Tahoma" w:hAnsi="Tahoma" w:cs="Tahoma"/>
      <w:sz w:val="16"/>
      <w:szCs w:val="16"/>
    </w:rPr>
  </w:style>
  <w:style w:type="paragraph" w:styleId="NoSpacing">
    <w:name w:val="No Spacing"/>
    <w:uiPriority w:val="99"/>
    <w:qFormat/>
    <w:rsid w:val="0000558C"/>
    <w:rPr>
      <w:lang w:val="en-US" w:eastAsia="en-US"/>
    </w:rPr>
  </w:style>
  <w:style w:type="character" w:styleId="Emphasis">
    <w:name w:val="Emphasis"/>
    <w:basedOn w:val="DefaultParagraphFont"/>
    <w:uiPriority w:val="99"/>
    <w:qFormat/>
    <w:rsid w:val="004072FE"/>
    <w:rPr>
      <w:rFonts w:cs="Times New Roman"/>
      <w:i/>
      <w:iCs/>
      <w:sz w:val="18"/>
      <w:u w:color="95B3D7"/>
    </w:rPr>
  </w:style>
  <w:style w:type="character" w:styleId="IntenseEmphasis">
    <w:name w:val="Intense Emphasis"/>
    <w:basedOn w:val="DefaultParagraphFont"/>
    <w:uiPriority w:val="99"/>
    <w:qFormat/>
    <w:rsid w:val="00236580"/>
    <w:rPr>
      <w:rFonts w:cs="Times New Roman"/>
      <w:b/>
      <w:bCs/>
      <w:i/>
      <w:iCs/>
      <w:color w:val="4F81BD"/>
    </w:rPr>
  </w:style>
  <w:style w:type="character" w:styleId="Strong">
    <w:name w:val="Strong"/>
    <w:basedOn w:val="DefaultParagraphFont"/>
    <w:uiPriority w:val="99"/>
    <w:qFormat/>
    <w:rsid w:val="00AB459A"/>
    <w:rPr>
      <w:rFonts w:cs="Times New Roman"/>
      <w:b/>
      <w:bCs/>
    </w:rPr>
  </w:style>
  <w:style w:type="paragraph" w:styleId="Header">
    <w:name w:val="header"/>
    <w:basedOn w:val="Normal"/>
    <w:link w:val="HeaderChar"/>
    <w:uiPriority w:val="99"/>
    <w:rsid w:val="002552AF"/>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2552AF"/>
    <w:rPr>
      <w:rFonts w:cs="Times New Roman"/>
    </w:rPr>
  </w:style>
  <w:style w:type="paragraph" w:styleId="Footer">
    <w:name w:val="footer"/>
    <w:basedOn w:val="Normal"/>
    <w:link w:val="FooterChar"/>
    <w:uiPriority w:val="99"/>
    <w:rsid w:val="002552AF"/>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2552AF"/>
    <w:rPr>
      <w:rFonts w:cs="Times New Roman"/>
    </w:rPr>
  </w:style>
  <w:style w:type="paragraph" w:styleId="TOCHeading">
    <w:name w:val="TOC Heading"/>
    <w:basedOn w:val="Heading1"/>
    <w:next w:val="Normal"/>
    <w:uiPriority w:val="99"/>
    <w:qFormat/>
    <w:rsid w:val="002552AF"/>
    <w:pPr>
      <w:spacing w:line="276" w:lineRule="auto"/>
      <w:outlineLvl w:val="9"/>
    </w:pPr>
    <w:rPr>
      <w:lang w:eastAsia="ja-JP"/>
    </w:rPr>
  </w:style>
  <w:style w:type="paragraph" w:styleId="TOC2">
    <w:name w:val="toc 2"/>
    <w:basedOn w:val="Normal"/>
    <w:next w:val="Normal"/>
    <w:autoRedefine/>
    <w:uiPriority w:val="99"/>
    <w:rsid w:val="00BF7E47"/>
    <w:pPr>
      <w:spacing w:after="20" w:line="240" w:lineRule="auto"/>
      <w:ind w:left="216"/>
    </w:pPr>
    <w:rPr>
      <w:color w:val="632423"/>
      <w:sz w:val="18"/>
      <w:szCs w:val="20"/>
    </w:rPr>
  </w:style>
  <w:style w:type="paragraph" w:styleId="TOC1">
    <w:name w:val="toc 1"/>
    <w:basedOn w:val="Normal"/>
    <w:next w:val="Normal"/>
    <w:autoRedefine/>
    <w:uiPriority w:val="99"/>
    <w:rsid w:val="004072FE"/>
    <w:pPr>
      <w:spacing w:before="80" w:after="40" w:line="240" w:lineRule="auto"/>
    </w:pPr>
    <w:rPr>
      <w:b/>
      <w:bCs/>
      <w:smallCaps/>
      <w:szCs w:val="20"/>
    </w:rPr>
  </w:style>
  <w:style w:type="paragraph" w:styleId="TOC3">
    <w:name w:val="toc 3"/>
    <w:basedOn w:val="Normal"/>
    <w:next w:val="Normal"/>
    <w:autoRedefine/>
    <w:uiPriority w:val="99"/>
    <w:rsid w:val="00BF7E47"/>
    <w:pPr>
      <w:spacing w:after="0"/>
      <w:ind w:left="440"/>
    </w:pPr>
    <w:rPr>
      <w:i/>
      <w:iCs/>
      <w:smallCaps/>
      <w:color w:val="365F91"/>
      <w:sz w:val="16"/>
      <w:szCs w:val="20"/>
    </w:rPr>
  </w:style>
  <w:style w:type="paragraph" w:styleId="TOC4">
    <w:name w:val="toc 4"/>
    <w:basedOn w:val="Normal"/>
    <w:next w:val="Normal"/>
    <w:autoRedefine/>
    <w:uiPriority w:val="99"/>
    <w:rsid w:val="002552AF"/>
    <w:pPr>
      <w:spacing w:after="0"/>
      <w:ind w:left="660"/>
    </w:pPr>
    <w:rPr>
      <w:sz w:val="18"/>
      <w:szCs w:val="18"/>
    </w:rPr>
  </w:style>
  <w:style w:type="paragraph" w:styleId="TOC5">
    <w:name w:val="toc 5"/>
    <w:basedOn w:val="Normal"/>
    <w:next w:val="Normal"/>
    <w:autoRedefine/>
    <w:uiPriority w:val="99"/>
    <w:rsid w:val="002552AF"/>
    <w:pPr>
      <w:spacing w:after="0"/>
      <w:ind w:left="880"/>
    </w:pPr>
    <w:rPr>
      <w:sz w:val="18"/>
      <w:szCs w:val="18"/>
    </w:rPr>
  </w:style>
  <w:style w:type="paragraph" w:styleId="TOC6">
    <w:name w:val="toc 6"/>
    <w:basedOn w:val="Normal"/>
    <w:next w:val="Normal"/>
    <w:autoRedefine/>
    <w:uiPriority w:val="99"/>
    <w:rsid w:val="002552AF"/>
    <w:pPr>
      <w:spacing w:after="0"/>
      <w:ind w:left="1100"/>
    </w:pPr>
    <w:rPr>
      <w:sz w:val="18"/>
      <w:szCs w:val="18"/>
    </w:rPr>
  </w:style>
  <w:style w:type="paragraph" w:styleId="TOC7">
    <w:name w:val="toc 7"/>
    <w:basedOn w:val="Normal"/>
    <w:next w:val="Normal"/>
    <w:autoRedefine/>
    <w:uiPriority w:val="99"/>
    <w:rsid w:val="002552AF"/>
    <w:pPr>
      <w:spacing w:after="0"/>
      <w:ind w:left="1320"/>
    </w:pPr>
    <w:rPr>
      <w:sz w:val="18"/>
      <w:szCs w:val="18"/>
    </w:rPr>
  </w:style>
  <w:style w:type="paragraph" w:styleId="TOC8">
    <w:name w:val="toc 8"/>
    <w:basedOn w:val="Normal"/>
    <w:next w:val="Normal"/>
    <w:autoRedefine/>
    <w:uiPriority w:val="99"/>
    <w:rsid w:val="002552AF"/>
    <w:pPr>
      <w:spacing w:after="0"/>
      <w:ind w:left="1540"/>
    </w:pPr>
    <w:rPr>
      <w:sz w:val="18"/>
      <w:szCs w:val="18"/>
    </w:rPr>
  </w:style>
  <w:style w:type="paragraph" w:styleId="TOC9">
    <w:name w:val="toc 9"/>
    <w:basedOn w:val="Normal"/>
    <w:next w:val="Normal"/>
    <w:autoRedefine/>
    <w:uiPriority w:val="99"/>
    <w:rsid w:val="002552AF"/>
    <w:pPr>
      <w:spacing w:after="0"/>
      <w:ind w:left="1760"/>
    </w:pPr>
    <w:rPr>
      <w:sz w:val="18"/>
      <w:szCs w:val="18"/>
    </w:rPr>
  </w:style>
  <w:style w:type="character" w:styleId="IntenseReference">
    <w:name w:val="Intense Reference"/>
    <w:basedOn w:val="DefaultParagraphFont"/>
    <w:uiPriority w:val="99"/>
    <w:qFormat/>
    <w:rsid w:val="00565C8E"/>
    <w:rPr>
      <w:rFonts w:cs="Times New Roman"/>
      <w:b/>
      <w:bCs/>
      <w:smallCaps/>
      <w:color w:val="C0504D"/>
      <w:spacing w:val="5"/>
      <w:u w:val="single"/>
    </w:rPr>
  </w:style>
  <w:style w:type="character" w:styleId="SubtleEmphasis">
    <w:name w:val="Subtle Emphasis"/>
    <w:basedOn w:val="DefaultParagraphFont"/>
    <w:uiPriority w:val="99"/>
    <w:qFormat/>
    <w:rsid w:val="00C73677"/>
    <w:rPr>
      <w:rFonts w:cs="Times New Roman"/>
      <w:i/>
      <w:iCs/>
      <w:color w:val="76923C"/>
    </w:rPr>
  </w:style>
  <w:style w:type="character" w:styleId="CommentReference">
    <w:name w:val="annotation reference"/>
    <w:basedOn w:val="DefaultParagraphFont"/>
    <w:uiPriority w:val="99"/>
    <w:semiHidden/>
    <w:rsid w:val="0002550D"/>
    <w:rPr>
      <w:rFonts w:cs="Times New Roman"/>
      <w:sz w:val="16"/>
      <w:szCs w:val="16"/>
    </w:rPr>
  </w:style>
  <w:style w:type="paragraph" w:styleId="CommentText">
    <w:name w:val="annotation text"/>
    <w:basedOn w:val="Normal"/>
    <w:link w:val="CommentTextChar"/>
    <w:uiPriority w:val="99"/>
    <w:semiHidden/>
    <w:rsid w:val="0002550D"/>
    <w:pPr>
      <w:spacing w:line="240" w:lineRule="auto"/>
    </w:pPr>
    <w:rPr>
      <w:szCs w:val="20"/>
    </w:rPr>
  </w:style>
  <w:style w:type="character" w:customStyle="1" w:styleId="CommentTextChar">
    <w:name w:val="Comment Text Char"/>
    <w:basedOn w:val="DefaultParagraphFont"/>
    <w:link w:val="CommentText"/>
    <w:uiPriority w:val="99"/>
    <w:semiHidden/>
    <w:locked/>
    <w:rsid w:val="0002550D"/>
    <w:rPr>
      <w:rFonts w:cs="Times New Roman"/>
      <w:sz w:val="20"/>
      <w:szCs w:val="20"/>
    </w:rPr>
  </w:style>
  <w:style w:type="paragraph" w:styleId="CommentSubject">
    <w:name w:val="annotation subject"/>
    <w:basedOn w:val="CommentText"/>
    <w:next w:val="CommentText"/>
    <w:link w:val="CommentSubjectChar"/>
    <w:uiPriority w:val="99"/>
    <w:semiHidden/>
    <w:rsid w:val="0002550D"/>
    <w:rPr>
      <w:b/>
      <w:bCs/>
    </w:rPr>
  </w:style>
  <w:style w:type="character" w:customStyle="1" w:styleId="CommentSubjectChar">
    <w:name w:val="Comment Subject Char"/>
    <w:basedOn w:val="CommentTextChar"/>
    <w:link w:val="CommentSubject"/>
    <w:uiPriority w:val="99"/>
    <w:semiHidden/>
    <w:locked/>
    <w:rsid w:val="0002550D"/>
    <w:rPr>
      <w:rFonts w:cs="Times New Roman"/>
      <w:b/>
      <w:bCs/>
      <w:sz w:val="20"/>
      <w:szCs w:val="20"/>
    </w:rPr>
  </w:style>
  <w:style w:type="paragraph" w:styleId="IntenseQuote">
    <w:name w:val="Intense Quote"/>
    <w:basedOn w:val="Normal"/>
    <w:next w:val="Normal"/>
    <w:link w:val="IntenseQuoteChar"/>
    <w:uiPriority w:val="99"/>
    <w:qFormat/>
    <w:rsid w:val="0037593C"/>
    <w:pPr>
      <w:pBdr>
        <w:bottom w:val="single" w:sz="4" w:space="4" w:color="4F81BD"/>
      </w:pBdr>
      <w:spacing w:before="200" w:after="280" w:line="264" w:lineRule="auto"/>
      <w:ind w:left="936" w:right="936"/>
    </w:pPr>
    <w:rPr>
      <w:b/>
      <w:bCs/>
      <w:i/>
      <w:iCs/>
      <w:color w:val="4F81BD"/>
    </w:rPr>
  </w:style>
  <w:style w:type="character" w:customStyle="1" w:styleId="IntenseQuoteChar">
    <w:name w:val="Intense Quote Char"/>
    <w:basedOn w:val="DefaultParagraphFont"/>
    <w:link w:val="IntenseQuote"/>
    <w:uiPriority w:val="99"/>
    <w:locked/>
    <w:rsid w:val="0037593C"/>
    <w:rPr>
      <w:rFonts w:ascii="Calibri" w:hAnsi="Calibri" w:cs="Times New Roman"/>
      <w:b/>
      <w:bCs/>
      <w:i/>
      <w:iCs/>
      <w:color w:val="4F81BD"/>
    </w:rPr>
  </w:style>
  <w:style w:type="paragraph" w:customStyle="1" w:styleId="EndNoteBibliographyTitle">
    <w:name w:val="EndNote Bibliography Title"/>
    <w:basedOn w:val="Normal"/>
    <w:link w:val="EndNoteBibliographyTitleChar"/>
    <w:uiPriority w:val="99"/>
    <w:rsid w:val="006A7506"/>
    <w:pPr>
      <w:spacing w:after="0"/>
      <w:jc w:val="center"/>
    </w:pPr>
    <w:rPr>
      <w:noProof/>
      <w:sz w:val="22"/>
    </w:rPr>
  </w:style>
  <w:style w:type="character" w:customStyle="1" w:styleId="EndNoteBibliographyTitleChar">
    <w:name w:val="EndNote Bibliography Title Char"/>
    <w:basedOn w:val="DefaultParagraphFont"/>
    <w:link w:val="EndNoteBibliographyTitle"/>
    <w:uiPriority w:val="99"/>
    <w:locked/>
    <w:rsid w:val="006A7506"/>
    <w:rPr>
      <w:rFonts w:cs="Times New Roman"/>
      <w:noProof/>
      <w:lang w:val="en-US" w:eastAsia="en-US"/>
    </w:rPr>
  </w:style>
  <w:style w:type="paragraph" w:customStyle="1" w:styleId="EndNoteBibliography">
    <w:name w:val="EndNote Bibliography"/>
    <w:basedOn w:val="Normal"/>
    <w:link w:val="EndNoteBibliographyChar"/>
    <w:uiPriority w:val="99"/>
    <w:rsid w:val="006A7506"/>
    <w:pPr>
      <w:spacing w:line="240" w:lineRule="auto"/>
    </w:pPr>
    <w:rPr>
      <w:noProof/>
      <w:sz w:val="22"/>
    </w:rPr>
  </w:style>
  <w:style w:type="character" w:customStyle="1" w:styleId="EndNoteBibliographyChar">
    <w:name w:val="EndNote Bibliography Char"/>
    <w:basedOn w:val="DefaultParagraphFont"/>
    <w:link w:val="EndNoteBibliography"/>
    <w:uiPriority w:val="99"/>
    <w:locked/>
    <w:rsid w:val="006A7506"/>
    <w:rPr>
      <w:rFonts w:cs="Times New Roman"/>
      <w:noProof/>
      <w:lang w:val="en-US" w:eastAsia="en-US"/>
    </w:rPr>
  </w:style>
  <w:style w:type="paragraph" w:styleId="Caption">
    <w:name w:val="caption"/>
    <w:basedOn w:val="Normal"/>
    <w:next w:val="Normal"/>
    <w:uiPriority w:val="99"/>
    <w:qFormat/>
    <w:rsid w:val="00EF69DD"/>
    <w:pPr>
      <w:spacing w:line="240" w:lineRule="auto"/>
      <w:jc w:val="left"/>
    </w:pPr>
    <w:rPr>
      <w:b/>
      <w:bCs/>
      <w:color w:val="4F81BD"/>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508139">
      <w:marLeft w:val="0"/>
      <w:marRight w:val="0"/>
      <w:marTop w:val="0"/>
      <w:marBottom w:val="0"/>
      <w:divBdr>
        <w:top w:val="none" w:sz="0" w:space="0" w:color="auto"/>
        <w:left w:val="none" w:sz="0" w:space="0" w:color="auto"/>
        <w:bottom w:val="none" w:sz="0" w:space="0" w:color="auto"/>
        <w:right w:val="none" w:sz="0" w:space="0" w:color="auto"/>
      </w:divBdr>
    </w:div>
    <w:div w:id="68508141">
      <w:marLeft w:val="0"/>
      <w:marRight w:val="0"/>
      <w:marTop w:val="0"/>
      <w:marBottom w:val="0"/>
      <w:divBdr>
        <w:top w:val="none" w:sz="0" w:space="0" w:color="auto"/>
        <w:left w:val="none" w:sz="0" w:space="0" w:color="auto"/>
        <w:bottom w:val="none" w:sz="0" w:space="0" w:color="auto"/>
        <w:right w:val="none" w:sz="0" w:space="0" w:color="auto"/>
      </w:divBdr>
      <w:divsChild>
        <w:div w:id="68508190">
          <w:marLeft w:val="0"/>
          <w:marRight w:val="0"/>
          <w:marTop w:val="0"/>
          <w:marBottom w:val="0"/>
          <w:divBdr>
            <w:top w:val="none" w:sz="0" w:space="0" w:color="auto"/>
            <w:left w:val="none" w:sz="0" w:space="0" w:color="auto"/>
            <w:bottom w:val="none" w:sz="0" w:space="0" w:color="auto"/>
            <w:right w:val="none" w:sz="0" w:space="0" w:color="auto"/>
          </w:divBdr>
          <w:divsChild>
            <w:div w:id="68508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08142">
      <w:marLeft w:val="0"/>
      <w:marRight w:val="0"/>
      <w:marTop w:val="0"/>
      <w:marBottom w:val="0"/>
      <w:divBdr>
        <w:top w:val="none" w:sz="0" w:space="0" w:color="auto"/>
        <w:left w:val="none" w:sz="0" w:space="0" w:color="auto"/>
        <w:bottom w:val="none" w:sz="0" w:space="0" w:color="auto"/>
        <w:right w:val="none" w:sz="0" w:space="0" w:color="auto"/>
      </w:divBdr>
    </w:div>
    <w:div w:id="68508144">
      <w:marLeft w:val="0"/>
      <w:marRight w:val="0"/>
      <w:marTop w:val="0"/>
      <w:marBottom w:val="0"/>
      <w:divBdr>
        <w:top w:val="none" w:sz="0" w:space="0" w:color="auto"/>
        <w:left w:val="none" w:sz="0" w:space="0" w:color="auto"/>
        <w:bottom w:val="none" w:sz="0" w:space="0" w:color="auto"/>
        <w:right w:val="none" w:sz="0" w:space="0" w:color="auto"/>
      </w:divBdr>
      <w:divsChild>
        <w:div w:id="68508169">
          <w:marLeft w:val="0"/>
          <w:marRight w:val="0"/>
          <w:marTop w:val="0"/>
          <w:marBottom w:val="0"/>
          <w:divBdr>
            <w:top w:val="none" w:sz="0" w:space="0" w:color="auto"/>
            <w:left w:val="none" w:sz="0" w:space="0" w:color="auto"/>
            <w:bottom w:val="none" w:sz="0" w:space="0" w:color="auto"/>
            <w:right w:val="none" w:sz="0" w:space="0" w:color="auto"/>
          </w:divBdr>
          <w:divsChild>
            <w:div w:id="68508146">
              <w:marLeft w:val="0"/>
              <w:marRight w:val="0"/>
              <w:marTop w:val="0"/>
              <w:marBottom w:val="0"/>
              <w:divBdr>
                <w:top w:val="none" w:sz="0" w:space="0" w:color="auto"/>
                <w:left w:val="single" w:sz="48" w:space="0" w:color="FFFFFF"/>
                <w:bottom w:val="none" w:sz="0" w:space="0" w:color="auto"/>
                <w:right w:val="single" w:sz="48" w:space="0" w:color="FFFFFF"/>
              </w:divBdr>
              <w:divsChild>
                <w:div w:id="68508194">
                  <w:marLeft w:val="0"/>
                  <w:marRight w:val="0"/>
                  <w:marTop w:val="0"/>
                  <w:marBottom w:val="0"/>
                  <w:divBdr>
                    <w:top w:val="none" w:sz="0" w:space="0" w:color="auto"/>
                    <w:left w:val="none" w:sz="0" w:space="0" w:color="auto"/>
                    <w:bottom w:val="none" w:sz="0" w:space="0" w:color="auto"/>
                    <w:right w:val="none" w:sz="0" w:space="0" w:color="auto"/>
                  </w:divBdr>
                  <w:divsChild>
                    <w:div w:id="68508174">
                      <w:marLeft w:val="0"/>
                      <w:marRight w:val="0"/>
                      <w:marTop w:val="0"/>
                      <w:marBottom w:val="0"/>
                      <w:divBdr>
                        <w:top w:val="none" w:sz="0" w:space="0" w:color="auto"/>
                        <w:left w:val="none" w:sz="0" w:space="0" w:color="auto"/>
                        <w:bottom w:val="none" w:sz="0" w:space="0" w:color="auto"/>
                        <w:right w:val="none" w:sz="0" w:space="0" w:color="auto"/>
                      </w:divBdr>
                      <w:divsChild>
                        <w:div w:id="68508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508145">
      <w:marLeft w:val="0"/>
      <w:marRight w:val="0"/>
      <w:marTop w:val="0"/>
      <w:marBottom w:val="0"/>
      <w:divBdr>
        <w:top w:val="none" w:sz="0" w:space="0" w:color="auto"/>
        <w:left w:val="none" w:sz="0" w:space="0" w:color="auto"/>
        <w:bottom w:val="none" w:sz="0" w:space="0" w:color="auto"/>
        <w:right w:val="none" w:sz="0" w:space="0" w:color="auto"/>
      </w:divBdr>
    </w:div>
    <w:div w:id="68508147">
      <w:marLeft w:val="0"/>
      <w:marRight w:val="0"/>
      <w:marTop w:val="0"/>
      <w:marBottom w:val="0"/>
      <w:divBdr>
        <w:top w:val="none" w:sz="0" w:space="0" w:color="auto"/>
        <w:left w:val="none" w:sz="0" w:space="0" w:color="auto"/>
        <w:bottom w:val="none" w:sz="0" w:space="0" w:color="auto"/>
        <w:right w:val="none" w:sz="0" w:space="0" w:color="auto"/>
      </w:divBdr>
    </w:div>
    <w:div w:id="68508149">
      <w:marLeft w:val="0"/>
      <w:marRight w:val="0"/>
      <w:marTop w:val="0"/>
      <w:marBottom w:val="0"/>
      <w:divBdr>
        <w:top w:val="none" w:sz="0" w:space="0" w:color="auto"/>
        <w:left w:val="none" w:sz="0" w:space="0" w:color="auto"/>
        <w:bottom w:val="none" w:sz="0" w:space="0" w:color="auto"/>
        <w:right w:val="none" w:sz="0" w:space="0" w:color="auto"/>
      </w:divBdr>
    </w:div>
    <w:div w:id="68508152">
      <w:marLeft w:val="0"/>
      <w:marRight w:val="0"/>
      <w:marTop w:val="0"/>
      <w:marBottom w:val="0"/>
      <w:divBdr>
        <w:top w:val="none" w:sz="0" w:space="0" w:color="auto"/>
        <w:left w:val="none" w:sz="0" w:space="0" w:color="auto"/>
        <w:bottom w:val="none" w:sz="0" w:space="0" w:color="auto"/>
        <w:right w:val="none" w:sz="0" w:space="0" w:color="auto"/>
      </w:divBdr>
    </w:div>
    <w:div w:id="68508154">
      <w:marLeft w:val="0"/>
      <w:marRight w:val="0"/>
      <w:marTop w:val="0"/>
      <w:marBottom w:val="0"/>
      <w:divBdr>
        <w:top w:val="none" w:sz="0" w:space="0" w:color="auto"/>
        <w:left w:val="none" w:sz="0" w:space="0" w:color="auto"/>
        <w:bottom w:val="none" w:sz="0" w:space="0" w:color="auto"/>
        <w:right w:val="none" w:sz="0" w:space="0" w:color="auto"/>
      </w:divBdr>
      <w:divsChild>
        <w:div w:id="68508199">
          <w:marLeft w:val="0"/>
          <w:marRight w:val="0"/>
          <w:marTop w:val="0"/>
          <w:marBottom w:val="0"/>
          <w:divBdr>
            <w:top w:val="none" w:sz="0" w:space="0" w:color="auto"/>
            <w:left w:val="none" w:sz="0" w:space="0" w:color="auto"/>
            <w:bottom w:val="none" w:sz="0" w:space="0" w:color="auto"/>
            <w:right w:val="none" w:sz="0" w:space="0" w:color="auto"/>
          </w:divBdr>
          <w:divsChild>
            <w:div w:id="68508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08155">
      <w:marLeft w:val="0"/>
      <w:marRight w:val="0"/>
      <w:marTop w:val="0"/>
      <w:marBottom w:val="0"/>
      <w:divBdr>
        <w:top w:val="none" w:sz="0" w:space="0" w:color="auto"/>
        <w:left w:val="none" w:sz="0" w:space="0" w:color="auto"/>
        <w:bottom w:val="none" w:sz="0" w:space="0" w:color="auto"/>
        <w:right w:val="none" w:sz="0" w:space="0" w:color="auto"/>
      </w:divBdr>
      <w:divsChild>
        <w:div w:id="68508184">
          <w:marLeft w:val="0"/>
          <w:marRight w:val="0"/>
          <w:marTop w:val="0"/>
          <w:marBottom w:val="0"/>
          <w:divBdr>
            <w:top w:val="none" w:sz="0" w:space="0" w:color="auto"/>
            <w:left w:val="none" w:sz="0" w:space="0" w:color="auto"/>
            <w:bottom w:val="none" w:sz="0" w:space="0" w:color="auto"/>
            <w:right w:val="none" w:sz="0" w:space="0" w:color="auto"/>
          </w:divBdr>
          <w:divsChild>
            <w:div w:id="68508192">
              <w:marLeft w:val="0"/>
              <w:marRight w:val="0"/>
              <w:marTop w:val="0"/>
              <w:marBottom w:val="0"/>
              <w:divBdr>
                <w:top w:val="none" w:sz="0" w:space="0" w:color="auto"/>
                <w:left w:val="none" w:sz="0" w:space="0" w:color="auto"/>
                <w:bottom w:val="none" w:sz="0" w:space="0" w:color="auto"/>
                <w:right w:val="none" w:sz="0" w:space="0" w:color="auto"/>
              </w:divBdr>
              <w:divsChild>
                <w:div w:id="68508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508160">
      <w:marLeft w:val="0"/>
      <w:marRight w:val="0"/>
      <w:marTop w:val="0"/>
      <w:marBottom w:val="0"/>
      <w:divBdr>
        <w:top w:val="none" w:sz="0" w:space="0" w:color="auto"/>
        <w:left w:val="none" w:sz="0" w:space="0" w:color="auto"/>
        <w:bottom w:val="none" w:sz="0" w:space="0" w:color="auto"/>
        <w:right w:val="none" w:sz="0" w:space="0" w:color="auto"/>
      </w:divBdr>
    </w:div>
    <w:div w:id="68508163">
      <w:marLeft w:val="0"/>
      <w:marRight w:val="0"/>
      <w:marTop w:val="0"/>
      <w:marBottom w:val="0"/>
      <w:divBdr>
        <w:top w:val="none" w:sz="0" w:space="0" w:color="auto"/>
        <w:left w:val="none" w:sz="0" w:space="0" w:color="auto"/>
        <w:bottom w:val="none" w:sz="0" w:space="0" w:color="auto"/>
        <w:right w:val="none" w:sz="0" w:space="0" w:color="auto"/>
      </w:divBdr>
    </w:div>
    <w:div w:id="68508166">
      <w:marLeft w:val="0"/>
      <w:marRight w:val="0"/>
      <w:marTop w:val="0"/>
      <w:marBottom w:val="0"/>
      <w:divBdr>
        <w:top w:val="none" w:sz="0" w:space="0" w:color="auto"/>
        <w:left w:val="none" w:sz="0" w:space="0" w:color="auto"/>
        <w:bottom w:val="none" w:sz="0" w:space="0" w:color="auto"/>
        <w:right w:val="none" w:sz="0" w:space="0" w:color="auto"/>
      </w:divBdr>
    </w:div>
    <w:div w:id="68508167">
      <w:marLeft w:val="0"/>
      <w:marRight w:val="0"/>
      <w:marTop w:val="0"/>
      <w:marBottom w:val="0"/>
      <w:divBdr>
        <w:top w:val="none" w:sz="0" w:space="0" w:color="auto"/>
        <w:left w:val="none" w:sz="0" w:space="0" w:color="auto"/>
        <w:bottom w:val="none" w:sz="0" w:space="0" w:color="auto"/>
        <w:right w:val="none" w:sz="0" w:space="0" w:color="auto"/>
      </w:divBdr>
    </w:div>
    <w:div w:id="68508173">
      <w:marLeft w:val="0"/>
      <w:marRight w:val="0"/>
      <w:marTop w:val="0"/>
      <w:marBottom w:val="0"/>
      <w:divBdr>
        <w:top w:val="none" w:sz="0" w:space="0" w:color="auto"/>
        <w:left w:val="none" w:sz="0" w:space="0" w:color="auto"/>
        <w:bottom w:val="none" w:sz="0" w:space="0" w:color="auto"/>
        <w:right w:val="none" w:sz="0" w:space="0" w:color="auto"/>
      </w:divBdr>
    </w:div>
    <w:div w:id="68508177">
      <w:marLeft w:val="0"/>
      <w:marRight w:val="0"/>
      <w:marTop w:val="0"/>
      <w:marBottom w:val="0"/>
      <w:divBdr>
        <w:top w:val="none" w:sz="0" w:space="0" w:color="auto"/>
        <w:left w:val="none" w:sz="0" w:space="0" w:color="auto"/>
        <w:bottom w:val="none" w:sz="0" w:space="0" w:color="auto"/>
        <w:right w:val="none" w:sz="0" w:space="0" w:color="auto"/>
      </w:divBdr>
    </w:div>
    <w:div w:id="68508178">
      <w:marLeft w:val="0"/>
      <w:marRight w:val="0"/>
      <w:marTop w:val="0"/>
      <w:marBottom w:val="0"/>
      <w:divBdr>
        <w:top w:val="none" w:sz="0" w:space="0" w:color="auto"/>
        <w:left w:val="none" w:sz="0" w:space="0" w:color="auto"/>
        <w:bottom w:val="none" w:sz="0" w:space="0" w:color="auto"/>
        <w:right w:val="none" w:sz="0" w:space="0" w:color="auto"/>
      </w:divBdr>
    </w:div>
    <w:div w:id="68508181">
      <w:marLeft w:val="0"/>
      <w:marRight w:val="0"/>
      <w:marTop w:val="0"/>
      <w:marBottom w:val="0"/>
      <w:divBdr>
        <w:top w:val="none" w:sz="0" w:space="0" w:color="auto"/>
        <w:left w:val="none" w:sz="0" w:space="0" w:color="auto"/>
        <w:bottom w:val="none" w:sz="0" w:space="0" w:color="auto"/>
        <w:right w:val="none" w:sz="0" w:space="0" w:color="auto"/>
      </w:divBdr>
    </w:div>
    <w:div w:id="68508182">
      <w:marLeft w:val="0"/>
      <w:marRight w:val="0"/>
      <w:marTop w:val="0"/>
      <w:marBottom w:val="0"/>
      <w:divBdr>
        <w:top w:val="none" w:sz="0" w:space="0" w:color="auto"/>
        <w:left w:val="none" w:sz="0" w:space="0" w:color="auto"/>
        <w:bottom w:val="none" w:sz="0" w:space="0" w:color="auto"/>
        <w:right w:val="none" w:sz="0" w:space="0" w:color="auto"/>
      </w:divBdr>
      <w:divsChild>
        <w:div w:id="68508164">
          <w:marLeft w:val="0"/>
          <w:marRight w:val="0"/>
          <w:marTop w:val="0"/>
          <w:marBottom w:val="0"/>
          <w:divBdr>
            <w:top w:val="none" w:sz="0" w:space="0" w:color="auto"/>
            <w:left w:val="none" w:sz="0" w:space="0" w:color="auto"/>
            <w:bottom w:val="none" w:sz="0" w:space="0" w:color="auto"/>
            <w:right w:val="none" w:sz="0" w:space="0" w:color="auto"/>
          </w:divBdr>
          <w:divsChild>
            <w:div w:id="68508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08183">
      <w:marLeft w:val="0"/>
      <w:marRight w:val="0"/>
      <w:marTop w:val="0"/>
      <w:marBottom w:val="0"/>
      <w:divBdr>
        <w:top w:val="none" w:sz="0" w:space="0" w:color="auto"/>
        <w:left w:val="none" w:sz="0" w:space="0" w:color="auto"/>
        <w:bottom w:val="none" w:sz="0" w:space="0" w:color="auto"/>
        <w:right w:val="none" w:sz="0" w:space="0" w:color="auto"/>
      </w:divBdr>
    </w:div>
    <w:div w:id="68508185">
      <w:marLeft w:val="0"/>
      <w:marRight w:val="0"/>
      <w:marTop w:val="0"/>
      <w:marBottom w:val="0"/>
      <w:divBdr>
        <w:top w:val="none" w:sz="0" w:space="0" w:color="auto"/>
        <w:left w:val="none" w:sz="0" w:space="0" w:color="auto"/>
        <w:bottom w:val="none" w:sz="0" w:space="0" w:color="auto"/>
        <w:right w:val="none" w:sz="0" w:space="0" w:color="auto"/>
      </w:divBdr>
      <w:divsChild>
        <w:div w:id="68508175">
          <w:marLeft w:val="0"/>
          <w:marRight w:val="0"/>
          <w:marTop w:val="0"/>
          <w:marBottom w:val="0"/>
          <w:divBdr>
            <w:top w:val="none" w:sz="0" w:space="0" w:color="auto"/>
            <w:left w:val="none" w:sz="0" w:space="0" w:color="auto"/>
            <w:bottom w:val="none" w:sz="0" w:space="0" w:color="auto"/>
            <w:right w:val="none" w:sz="0" w:space="0" w:color="auto"/>
          </w:divBdr>
          <w:divsChild>
            <w:div w:id="68508172">
              <w:marLeft w:val="0"/>
              <w:marRight w:val="0"/>
              <w:marTop w:val="0"/>
              <w:marBottom w:val="0"/>
              <w:divBdr>
                <w:top w:val="none" w:sz="0" w:space="0" w:color="auto"/>
                <w:left w:val="none" w:sz="0" w:space="0" w:color="auto"/>
                <w:bottom w:val="none" w:sz="0" w:space="0" w:color="auto"/>
                <w:right w:val="none" w:sz="0" w:space="0" w:color="auto"/>
              </w:divBdr>
              <w:divsChild>
                <w:div w:id="68508156">
                  <w:marLeft w:val="0"/>
                  <w:marRight w:val="0"/>
                  <w:marTop w:val="0"/>
                  <w:marBottom w:val="0"/>
                  <w:divBdr>
                    <w:top w:val="none" w:sz="0" w:space="0" w:color="auto"/>
                    <w:left w:val="none" w:sz="0" w:space="0" w:color="auto"/>
                    <w:bottom w:val="none" w:sz="0" w:space="0" w:color="auto"/>
                    <w:right w:val="none" w:sz="0" w:space="0" w:color="auto"/>
                  </w:divBdr>
                  <w:divsChild>
                    <w:div w:id="68508158">
                      <w:marLeft w:val="0"/>
                      <w:marRight w:val="0"/>
                      <w:marTop w:val="0"/>
                      <w:marBottom w:val="0"/>
                      <w:divBdr>
                        <w:top w:val="none" w:sz="0" w:space="0" w:color="auto"/>
                        <w:left w:val="none" w:sz="0" w:space="0" w:color="auto"/>
                        <w:bottom w:val="none" w:sz="0" w:space="0" w:color="auto"/>
                        <w:right w:val="none" w:sz="0" w:space="0" w:color="auto"/>
                      </w:divBdr>
                      <w:divsChild>
                        <w:div w:id="68508157">
                          <w:marLeft w:val="0"/>
                          <w:marRight w:val="0"/>
                          <w:marTop w:val="0"/>
                          <w:marBottom w:val="0"/>
                          <w:divBdr>
                            <w:top w:val="none" w:sz="0" w:space="0" w:color="auto"/>
                            <w:left w:val="none" w:sz="0" w:space="0" w:color="auto"/>
                            <w:bottom w:val="none" w:sz="0" w:space="0" w:color="auto"/>
                            <w:right w:val="none" w:sz="0" w:space="0" w:color="auto"/>
                          </w:divBdr>
                          <w:divsChild>
                            <w:div w:id="6850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508171">
                  <w:marLeft w:val="0"/>
                  <w:marRight w:val="0"/>
                  <w:marTop w:val="0"/>
                  <w:marBottom w:val="0"/>
                  <w:divBdr>
                    <w:top w:val="none" w:sz="0" w:space="0" w:color="auto"/>
                    <w:left w:val="none" w:sz="0" w:space="0" w:color="auto"/>
                    <w:bottom w:val="none" w:sz="0" w:space="0" w:color="auto"/>
                    <w:right w:val="none" w:sz="0" w:space="0" w:color="auto"/>
                  </w:divBdr>
                  <w:divsChild>
                    <w:div w:id="68508162">
                      <w:marLeft w:val="0"/>
                      <w:marRight w:val="0"/>
                      <w:marTop w:val="0"/>
                      <w:marBottom w:val="0"/>
                      <w:divBdr>
                        <w:top w:val="none" w:sz="0" w:space="0" w:color="auto"/>
                        <w:left w:val="none" w:sz="0" w:space="0" w:color="auto"/>
                        <w:bottom w:val="none" w:sz="0" w:space="0" w:color="auto"/>
                        <w:right w:val="none" w:sz="0" w:space="0" w:color="auto"/>
                      </w:divBdr>
                      <w:divsChild>
                        <w:div w:id="68508150">
                          <w:marLeft w:val="0"/>
                          <w:marRight w:val="0"/>
                          <w:marTop w:val="0"/>
                          <w:marBottom w:val="0"/>
                          <w:divBdr>
                            <w:top w:val="none" w:sz="0" w:space="0" w:color="auto"/>
                            <w:left w:val="none" w:sz="0" w:space="0" w:color="auto"/>
                            <w:bottom w:val="none" w:sz="0" w:space="0" w:color="auto"/>
                            <w:right w:val="none" w:sz="0" w:space="0" w:color="auto"/>
                          </w:divBdr>
                          <w:divsChild>
                            <w:div w:id="6850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508186">
      <w:marLeft w:val="0"/>
      <w:marRight w:val="0"/>
      <w:marTop w:val="0"/>
      <w:marBottom w:val="0"/>
      <w:divBdr>
        <w:top w:val="none" w:sz="0" w:space="0" w:color="auto"/>
        <w:left w:val="none" w:sz="0" w:space="0" w:color="auto"/>
        <w:bottom w:val="none" w:sz="0" w:space="0" w:color="auto"/>
        <w:right w:val="none" w:sz="0" w:space="0" w:color="auto"/>
      </w:divBdr>
    </w:div>
    <w:div w:id="68508191">
      <w:marLeft w:val="0"/>
      <w:marRight w:val="0"/>
      <w:marTop w:val="0"/>
      <w:marBottom w:val="0"/>
      <w:divBdr>
        <w:top w:val="none" w:sz="0" w:space="0" w:color="auto"/>
        <w:left w:val="none" w:sz="0" w:space="0" w:color="auto"/>
        <w:bottom w:val="none" w:sz="0" w:space="0" w:color="auto"/>
        <w:right w:val="none" w:sz="0" w:space="0" w:color="auto"/>
      </w:divBdr>
      <w:divsChild>
        <w:div w:id="68508180">
          <w:marLeft w:val="0"/>
          <w:marRight w:val="0"/>
          <w:marTop w:val="0"/>
          <w:marBottom w:val="0"/>
          <w:divBdr>
            <w:top w:val="none" w:sz="0" w:space="0" w:color="auto"/>
            <w:left w:val="none" w:sz="0" w:space="0" w:color="auto"/>
            <w:bottom w:val="none" w:sz="0" w:space="0" w:color="auto"/>
            <w:right w:val="none" w:sz="0" w:space="0" w:color="auto"/>
          </w:divBdr>
          <w:divsChild>
            <w:div w:id="68508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08195">
      <w:marLeft w:val="0"/>
      <w:marRight w:val="0"/>
      <w:marTop w:val="0"/>
      <w:marBottom w:val="0"/>
      <w:divBdr>
        <w:top w:val="none" w:sz="0" w:space="0" w:color="auto"/>
        <w:left w:val="none" w:sz="0" w:space="0" w:color="auto"/>
        <w:bottom w:val="none" w:sz="0" w:space="0" w:color="auto"/>
        <w:right w:val="none" w:sz="0" w:space="0" w:color="auto"/>
      </w:divBdr>
    </w:div>
    <w:div w:id="68508196">
      <w:marLeft w:val="0"/>
      <w:marRight w:val="0"/>
      <w:marTop w:val="0"/>
      <w:marBottom w:val="0"/>
      <w:divBdr>
        <w:top w:val="none" w:sz="0" w:space="0" w:color="auto"/>
        <w:left w:val="none" w:sz="0" w:space="0" w:color="auto"/>
        <w:bottom w:val="none" w:sz="0" w:space="0" w:color="auto"/>
        <w:right w:val="none" w:sz="0" w:space="0" w:color="auto"/>
      </w:divBdr>
      <w:divsChild>
        <w:div w:id="68508213">
          <w:marLeft w:val="0"/>
          <w:marRight w:val="0"/>
          <w:marTop w:val="0"/>
          <w:marBottom w:val="0"/>
          <w:divBdr>
            <w:top w:val="none" w:sz="0" w:space="0" w:color="auto"/>
            <w:left w:val="none" w:sz="0" w:space="0" w:color="auto"/>
            <w:bottom w:val="none" w:sz="0" w:space="0" w:color="auto"/>
            <w:right w:val="none" w:sz="0" w:space="0" w:color="auto"/>
          </w:divBdr>
        </w:div>
      </w:divsChild>
    </w:div>
    <w:div w:id="68508197">
      <w:marLeft w:val="0"/>
      <w:marRight w:val="0"/>
      <w:marTop w:val="0"/>
      <w:marBottom w:val="0"/>
      <w:divBdr>
        <w:top w:val="none" w:sz="0" w:space="0" w:color="auto"/>
        <w:left w:val="none" w:sz="0" w:space="0" w:color="auto"/>
        <w:bottom w:val="none" w:sz="0" w:space="0" w:color="auto"/>
        <w:right w:val="none" w:sz="0" w:space="0" w:color="auto"/>
      </w:divBdr>
      <w:divsChild>
        <w:div w:id="68508165">
          <w:marLeft w:val="0"/>
          <w:marRight w:val="0"/>
          <w:marTop w:val="0"/>
          <w:marBottom w:val="0"/>
          <w:divBdr>
            <w:top w:val="none" w:sz="0" w:space="0" w:color="auto"/>
            <w:left w:val="none" w:sz="0" w:space="0" w:color="auto"/>
            <w:bottom w:val="none" w:sz="0" w:space="0" w:color="auto"/>
            <w:right w:val="none" w:sz="0" w:space="0" w:color="auto"/>
          </w:divBdr>
        </w:div>
      </w:divsChild>
    </w:div>
    <w:div w:id="68508200">
      <w:marLeft w:val="0"/>
      <w:marRight w:val="0"/>
      <w:marTop w:val="0"/>
      <w:marBottom w:val="0"/>
      <w:divBdr>
        <w:top w:val="none" w:sz="0" w:space="0" w:color="auto"/>
        <w:left w:val="none" w:sz="0" w:space="0" w:color="auto"/>
        <w:bottom w:val="none" w:sz="0" w:space="0" w:color="auto"/>
        <w:right w:val="none" w:sz="0" w:space="0" w:color="auto"/>
      </w:divBdr>
    </w:div>
    <w:div w:id="68508201">
      <w:marLeft w:val="0"/>
      <w:marRight w:val="0"/>
      <w:marTop w:val="0"/>
      <w:marBottom w:val="0"/>
      <w:divBdr>
        <w:top w:val="none" w:sz="0" w:space="0" w:color="auto"/>
        <w:left w:val="none" w:sz="0" w:space="0" w:color="auto"/>
        <w:bottom w:val="none" w:sz="0" w:space="0" w:color="auto"/>
        <w:right w:val="none" w:sz="0" w:space="0" w:color="auto"/>
      </w:divBdr>
      <w:divsChild>
        <w:div w:id="68508188">
          <w:marLeft w:val="0"/>
          <w:marRight w:val="0"/>
          <w:marTop w:val="0"/>
          <w:marBottom w:val="0"/>
          <w:divBdr>
            <w:top w:val="none" w:sz="0" w:space="0" w:color="auto"/>
            <w:left w:val="none" w:sz="0" w:space="0" w:color="auto"/>
            <w:bottom w:val="none" w:sz="0" w:space="0" w:color="auto"/>
            <w:right w:val="none" w:sz="0" w:space="0" w:color="auto"/>
          </w:divBdr>
          <w:divsChild>
            <w:div w:id="68508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08202">
      <w:marLeft w:val="0"/>
      <w:marRight w:val="0"/>
      <w:marTop w:val="0"/>
      <w:marBottom w:val="0"/>
      <w:divBdr>
        <w:top w:val="none" w:sz="0" w:space="0" w:color="auto"/>
        <w:left w:val="none" w:sz="0" w:space="0" w:color="auto"/>
        <w:bottom w:val="none" w:sz="0" w:space="0" w:color="auto"/>
        <w:right w:val="none" w:sz="0" w:space="0" w:color="auto"/>
      </w:divBdr>
    </w:div>
    <w:div w:id="68508203">
      <w:marLeft w:val="0"/>
      <w:marRight w:val="0"/>
      <w:marTop w:val="0"/>
      <w:marBottom w:val="0"/>
      <w:divBdr>
        <w:top w:val="none" w:sz="0" w:space="0" w:color="auto"/>
        <w:left w:val="none" w:sz="0" w:space="0" w:color="auto"/>
        <w:bottom w:val="none" w:sz="0" w:space="0" w:color="auto"/>
        <w:right w:val="none" w:sz="0" w:space="0" w:color="auto"/>
      </w:divBdr>
    </w:div>
    <w:div w:id="68508204">
      <w:marLeft w:val="0"/>
      <w:marRight w:val="0"/>
      <w:marTop w:val="0"/>
      <w:marBottom w:val="0"/>
      <w:divBdr>
        <w:top w:val="none" w:sz="0" w:space="0" w:color="auto"/>
        <w:left w:val="none" w:sz="0" w:space="0" w:color="auto"/>
        <w:bottom w:val="none" w:sz="0" w:space="0" w:color="auto"/>
        <w:right w:val="none" w:sz="0" w:space="0" w:color="auto"/>
      </w:divBdr>
    </w:div>
    <w:div w:id="68508206">
      <w:marLeft w:val="0"/>
      <w:marRight w:val="0"/>
      <w:marTop w:val="0"/>
      <w:marBottom w:val="0"/>
      <w:divBdr>
        <w:top w:val="none" w:sz="0" w:space="0" w:color="auto"/>
        <w:left w:val="none" w:sz="0" w:space="0" w:color="auto"/>
        <w:bottom w:val="none" w:sz="0" w:space="0" w:color="auto"/>
        <w:right w:val="none" w:sz="0" w:space="0" w:color="auto"/>
      </w:divBdr>
    </w:div>
    <w:div w:id="68508207">
      <w:marLeft w:val="0"/>
      <w:marRight w:val="0"/>
      <w:marTop w:val="0"/>
      <w:marBottom w:val="0"/>
      <w:divBdr>
        <w:top w:val="none" w:sz="0" w:space="0" w:color="auto"/>
        <w:left w:val="none" w:sz="0" w:space="0" w:color="auto"/>
        <w:bottom w:val="none" w:sz="0" w:space="0" w:color="auto"/>
        <w:right w:val="none" w:sz="0" w:space="0" w:color="auto"/>
      </w:divBdr>
      <w:divsChild>
        <w:div w:id="68508198">
          <w:marLeft w:val="0"/>
          <w:marRight w:val="0"/>
          <w:marTop w:val="0"/>
          <w:marBottom w:val="0"/>
          <w:divBdr>
            <w:top w:val="none" w:sz="0" w:space="0" w:color="auto"/>
            <w:left w:val="none" w:sz="0" w:space="0" w:color="auto"/>
            <w:bottom w:val="none" w:sz="0" w:space="0" w:color="auto"/>
            <w:right w:val="none" w:sz="0" w:space="0" w:color="auto"/>
          </w:divBdr>
          <w:divsChild>
            <w:div w:id="68508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08208">
      <w:marLeft w:val="0"/>
      <w:marRight w:val="0"/>
      <w:marTop w:val="0"/>
      <w:marBottom w:val="0"/>
      <w:divBdr>
        <w:top w:val="none" w:sz="0" w:space="0" w:color="auto"/>
        <w:left w:val="none" w:sz="0" w:space="0" w:color="auto"/>
        <w:bottom w:val="none" w:sz="0" w:space="0" w:color="auto"/>
        <w:right w:val="none" w:sz="0" w:space="0" w:color="auto"/>
      </w:divBdr>
      <w:divsChild>
        <w:div w:id="68508189">
          <w:marLeft w:val="0"/>
          <w:marRight w:val="0"/>
          <w:marTop w:val="0"/>
          <w:marBottom w:val="0"/>
          <w:divBdr>
            <w:top w:val="none" w:sz="0" w:space="0" w:color="auto"/>
            <w:left w:val="none" w:sz="0" w:space="0" w:color="auto"/>
            <w:bottom w:val="none" w:sz="0" w:space="0" w:color="auto"/>
            <w:right w:val="none" w:sz="0" w:space="0" w:color="auto"/>
          </w:divBdr>
          <w:divsChild>
            <w:div w:id="68508193">
              <w:marLeft w:val="0"/>
              <w:marRight w:val="0"/>
              <w:marTop w:val="0"/>
              <w:marBottom w:val="0"/>
              <w:divBdr>
                <w:top w:val="none" w:sz="0" w:space="0" w:color="auto"/>
                <w:left w:val="none" w:sz="0" w:space="0" w:color="auto"/>
                <w:bottom w:val="none" w:sz="0" w:space="0" w:color="auto"/>
                <w:right w:val="none" w:sz="0" w:space="0" w:color="auto"/>
              </w:divBdr>
              <w:divsChild>
                <w:div w:id="68508153">
                  <w:marLeft w:val="0"/>
                  <w:marRight w:val="0"/>
                  <w:marTop w:val="0"/>
                  <w:marBottom w:val="0"/>
                  <w:divBdr>
                    <w:top w:val="none" w:sz="0" w:space="0" w:color="auto"/>
                    <w:left w:val="none" w:sz="0" w:space="0" w:color="auto"/>
                    <w:bottom w:val="none" w:sz="0" w:space="0" w:color="auto"/>
                    <w:right w:val="none" w:sz="0" w:space="0" w:color="auto"/>
                  </w:divBdr>
                  <w:divsChild>
                    <w:div w:id="68508161">
                      <w:marLeft w:val="0"/>
                      <w:marRight w:val="0"/>
                      <w:marTop w:val="0"/>
                      <w:marBottom w:val="120"/>
                      <w:divBdr>
                        <w:top w:val="none" w:sz="0" w:space="0" w:color="auto"/>
                        <w:left w:val="none" w:sz="0" w:space="0" w:color="auto"/>
                        <w:bottom w:val="none" w:sz="0" w:space="0" w:color="auto"/>
                        <w:right w:val="none" w:sz="0" w:space="0" w:color="auto"/>
                      </w:divBdr>
                    </w:div>
                    <w:div w:id="68508170">
                      <w:marLeft w:val="0"/>
                      <w:marRight w:val="0"/>
                      <w:marTop w:val="0"/>
                      <w:marBottom w:val="0"/>
                      <w:divBdr>
                        <w:top w:val="none" w:sz="0" w:space="0" w:color="auto"/>
                        <w:left w:val="none" w:sz="0" w:space="0" w:color="auto"/>
                        <w:bottom w:val="none" w:sz="0" w:space="0" w:color="auto"/>
                        <w:right w:val="none" w:sz="0" w:space="0" w:color="auto"/>
                      </w:divBdr>
                      <w:divsChild>
                        <w:div w:id="68508209">
                          <w:marLeft w:val="0"/>
                          <w:marRight w:val="0"/>
                          <w:marTop w:val="0"/>
                          <w:marBottom w:val="0"/>
                          <w:divBdr>
                            <w:top w:val="none" w:sz="0" w:space="0" w:color="auto"/>
                            <w:left w:val="none" w:sz="0" w:space="0" w:color="auto"/>
                            <w:bottom w:val="none" w:sz="0" w:space="0" w:color="auto"/>
                            <w:right w:val="none" w:sz="0" w:space="0" w:color="auto"/>
                          </w:divBdr>
                          <w:divsChild>
                            <w:div w:id="68508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508211">
      <w:marLeft w:val="0"/>
      <w:marRight w:val="0"/>
      <w:marTop w:val="0"/>
      <w:marBottom w:val="0"/>
      <w:divBdr>
        <w:top w:val="none" w:sz="0" w:space="0" w:color="auto"/>
        <w:left w:val="none" w:sz="0" w:space="0" w:color="auto"/>
        <w:bottom w:val="none" w:sz="0" w:space="0" w:color="auto"/>
        <w:right w:val="none" w:sz="0" w:space="0" w:color="auto"/>
      </w:divBdr>
    </w:div>
    <w:div w:id="6850821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worldhunger.org/articles/Learn/world%20hunger%20facts%202002.htm" TargetMode="External"/><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theguardian.com/business/2006/nov/10/water.environment"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worldhunger.org/articles/Learn/world%20hunger%20facts%202002.htm" TargetMode="External"/><Relationship Id="rId4" Type="http://schemas.openxmlformats.org/officeDocument/2006/relationships/settings" Target="settings.xml"/><Relationship Id="rId9" Type="http://schemas.openxmlformats.org/officeDocument/2006/relationships/hyperlink" Target="http://www.theguardian.com/business/2006/nov/10/water.environment"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8563</Words>
  <Characters>48813</Characters>
  <Application>Microsoft Office Word</Application>
  <DocSecurity>0</DocSecurity>
  <Lines>406</Lines>
  <Paragraphs>114</Paragraphs>
  <ScaleCrop>false</ScaleCrop>
  <HeadingPairs>
    <vt:vector size="2" baseType="variant">
      <vt:variant>
        <vt:lpstr>Title</vt:lpstr>
      </vt:variant>
      <vt:variant>
        <vt:i4>1</vt:i4>
      </vt:variant>
    </vt:vector>
  </HeadingPairs>
  <TitlesOfParts>
    <vt:vector size="1" baseType="lpstr">
      <vt:lpstr>MPI-Research: BUAV-SOKO Claims &amp; Reality</vt:lpstr>
    </vt:vector>
  </TitlesOfParts>
  <Company>MPI for Biological Cybernetics</Company>
  <LinksUpToDate>false</LinksUpToDate>
  <CharactersWithSpaces>57262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MPI-Research: BUAV-SOKO Claims &amp; Reality</dc:title>
  <dc:creator>Mark Augath</dc:creator>
  <cp:lastModifiedBy>Paul Browne</cp:lastModifiedBy>
  <cp:revision>2</cp:revision>
  <cp:lastPrinted>2014-11-23T16:50:00Z</cp:lastPrinted>
  <dcterms:created xsi:type="dcterms:W3CDTF">2015-05-05T11:55:00Z</dcterms:created>
  <dcterms:modified xsi:type="dcterms:W3CDTF">2015-05-05T11:55:00Z</dcterms:modified>
</cp:coreProperties>
</file>